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702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842"/>
        <w:gridCol w:w="9073"/>
      </w:tblGrid>
      <w:tr w:rsidR="0086025E" w:rsidRPr="00265EDE" w:rsidTr="0086025E">
        <w:tc>
          <w:tcPr>
            <w:tcW w:w="844" w:type="pct"/>
          </w:tcPr>
          <w:p w:rsidR="0086025E" w:rsidRPr="00265EDE" w:rsidRDefault="0086025E" w:rsidP="00E5139D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4156" w:type="pct"/>
          </w:tcPr>
          <w:p w:rsidR="0086025E" w:rsidRDefault="003E5A05" w:rsidP="00E5139D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2 марта 2016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, </w:t>
            </w:r>
            <w:r w:rsidR="0086025E"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Технопарк, </w:t>
            </w:r>
          </w:p>
          <w:p w:rsidR="0086025E" w:rsidRPr="00265EDE" w:rsidRDefault="0086025E" w:rsidP="00E5139D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конференц-зал № 3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Черевко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Александр Александрович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Уфимцева И.В.,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Хе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А.К.,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А.П., Тулупов А.А.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Обобщенный осциллятор Ван дер Поля — Дуффинга как уравнение реологии мозга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eastAsia="SFCC1200" w:hAnsi="Times New Roman" w:cs="Times New Roman"/>
                <w:b/>
                <w:sz w:val="36"/>
                <w:szCs w:val="36"/>
              </w:rPr>
            </w:pP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Бобкова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М. С</w:t>
            </w:r>
            <w:r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Хе</w:t>
            </w:r>
            <w:proofErr w:type="spellEnd"/>
            <w:r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 xml:space="preserve"> </w:t>
            </w: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 xml:space="preserve">Александр </w:t>
            </w:r>
            <w:proofErr w:type="spellStart"/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Канчерович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Чупахин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П., Кривошапкин А. Л., Орлов К.Ю.</w:t>
            </w:r>
            <w:r w:rsidRPr="00265EDE">
              <w:rPr>
                <w:rFonts w:ascii="SFCC1200" w:eastAsia="SFCC1200" w:cs="SFCC1200"/>
                <w:sz w:val="36"/>
                <w:szCs w:val="36"/>
              </w:rPr>
              <w:t xml:space="preserve">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Численное моделирование гемодинамики в гигантской церебральной аневризме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Кривошапкин А.Л., Орлов К.Ю.,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Паршин Даниил Васильевич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Уфимцева И.В.,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А.П.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перспективной диагностике артериальных аневризм сосудов головного мозга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25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</w:pP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Денисенко Никита Сергеевич</w:t>
            </w: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, Янченко А. А.,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Черевко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А.,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Хе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К.,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Чупахин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П., Тулупов А. А., Савелов А. А., Акулов А. Г., Мошкин, М. П., Бойко А. В., Кривошапкин А. Л., Орлов К.Ю.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Моделирование движения жидкости в упругом тройнике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265EDE" w:rsidRDefault="0086025E" w:rsidP="0086025E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sz w:val="36"/>
                <w:szCs w:val="36"/>
                <w:highlight w:val="red"/>
                <w:lang w:eastAsia="ru-RU"/>
              </w:rPr>
            </w:pP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Янькова Г. С., </w:t>
            </w: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Мальцева Светлана Васильевна</w:t>
            </w:r>
            <w:r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eastAsia="SFCC1200" w:hAnsi="Times New Roman" w:cs="Times New Roman"/>
                <w:sz w:val="36"/>
                <w:szCs w:val="36"/>
              </w:rPr>
              <w:t>Черевко</w:t>
            </w:r>
            <w:proofErr w:type="spellEnd"/>
            <w:r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А., Паршин Д.</w:t>
            </w: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В.,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Хе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К.,</w:t>
            </w:r>
            <w:r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</w:t>
            </w: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Акулов А. Е., Мошкин М. П.,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Чупахин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А. П.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Построение и исследование 3D-сети сосудов головного мозга по данным МРТ методом варьирования сканирующей плоскости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Терехова Наталья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Михайловна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Моделирование динамики возмущений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слабонелинейной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области развития для сверхзвукового пограничного слоя</w:t>
            </w:r>
          </w:p>
        </w:tc>
      </w:tr>
      <w:tr w:rsidR="0086025E" w:rsidRPr="00265EDE" w:rsidTr="0086025E">
        <w:trPr>
          <w:gridAfter w:val="1"/>
          <w:wAfter w:w="4156" w:type="pct"/>
        </w:trPr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86025E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265EDE" w:rsidRDefault="0086025E" w:rsidP="00E5139D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Замураев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В.П.,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Калинина Анна Павловна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Влияние односторонних колебаний на аэродинамические характеристики крыловых профилей при трансзвуковом обтекании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Замураев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Владимир Павлович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Калинина А.П.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Нелинейное воздействие волн давления от источников энергии и втекающей струи на сверхзвуковое течение в канале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265EDE" w:rsidRDefault="0086025E" w:rsidP="00E5139D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Занин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Борис Юрьевич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Волны и вихри на модели крыла в турбулентном потоке в аэродинамической трубе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86025E" w:rsidRDefault="0086025E" w:rsidP="0086025E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Кирилловский Станислав Викторович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Поплавская Т.В.,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Цырюльников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И.С.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О влиянии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модового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состава возмущений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высокоэнтальпийной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аэродинамической трубе на волновые процессы в гиперзвуковом вязком ударном слое</w:t>
            </w:r>
          </w:p>
        </w:tc>
      </w:tr>
      <w:tr w:rsidR="00B44C63" w:rsidRPr="00265EDE" w:rsidTr="0086025E">
        <w:tc>
          <w:tcPr>
            <w:tcW w:w="844" w:type="pct"/>
          </w:tcPr>
          <w:p w:rsidR="00B44C63" w:rsidRDefault="00B44C63" w:rsidP="00E5139D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156" w:type="pct"/>
          </w:tcPr>
          <w:p w:rsidR="00B44C63" w:rsidRPr="00265EDE" w:rsidRDefault="00B44C63" w:rsidP="00B44C63">
            <w:pPr>
              <w:spacing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СТУДЕНЧЕСКАЯ СЕССИЯ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Default="008430B7" w:rsidP="008430B7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8430B7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Гологуш</w:t>
            </w:r>
            <w:proofErr w:type="spellEnd"/>
            <w:r w:rsidRPr="008430B7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А.П., </w:t>
            </w:r>
            <w:r w:rsidRPr="008430B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Петренко И.А.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Моделирование </w:t>
            </w:r>
            <w:proofErr w:type="spellStart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эмболизации</w:t>
            </w:r>
            <w:proofErr w:type="spellEnd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артерио-венозной</w:t>
            </w:r>
            <w:proofErr w:type="gramEnd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мальформации</w:t>
            </w:r>
            <w:proofErr w:type="spellEnd"/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на основе модели двухфазной фильтрации</w:t>
            </w:r>
          </w:p>
          <w:p w:rsidR="00C80EA2" w:rsidRDefault="00C80EA2" w:rsidP="008430B7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Ткаченко Сергей Дмитриевич </w:t>
            </w:r>
            <w:r w:rsidRPr="00C80EA2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Неустановившиеся длинные волны в течениях над подвижным дном</w:t>
            </w:r>
          </w:p>
          <w:p w:rsidR="00653EB8" w:rsidRDefault="00653EB8" w:rsidP="008430B7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Сергеевна,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Остапенко В.В. </w:t>
            </w:r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Волновые течения, возникающие при подъеме симметричного выпуклого тела, частично погруженного в мелкую воду</w:t>
            </w:r>
          </w:p>
          <w:p w:rsidR="00653EB8" w:rsidRDefault="00653EB8" w:rsidP="008430B7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Макридин Захар Владимирович,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Макаренко Н.И. </w:t>
            </w:r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Синхронизация уединенных и </w:t>
            </w:r>
            <w:proofErr w:type="spellStart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кноидальных</w:t>
            </w:r>
            <w:proofErr w:type="spellEnd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волн в </w:t>
            </w:r>
            <w:proofErr w:type="spellStart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диспергирующих</w:t>
            </w:r>
            <w:proofErr w:type="spellEnd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системах, близких </w:t>
            </w:r>
            <w:proofErr w:type="gramStart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</w:t>
            </w:r>
            <w:proofErr w:type="gramEnd"/>
            <w:r w:rsidRPr="00653EB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распавшимся</w:t>
            </w:r>
          </w:p>
          <w:p w:rsidR="00653EB8" w:rsidRDefault="00653EB8" w:rsidP="00653EB8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653EB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Паршин Д</w:t>
            </w:r>
            <w:r w:rsid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. В., </w:t>
            </w:r>
            <w:proofErr w:type="spellStart"/>
            <w:r w:rsid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 w:rsid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 А., </w:t>
            </w:r>
            <w:r w:rsidR="00BA21E8" w:rsidRPr="00BA21E8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Уфимцева Ирина Владиславовна</w:t>
            </w:r>
            <w:r w:rsid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, Орлов К. Ю., Кри</w:t>
            </w:r>
            <w:r w:rsidR="00502E1A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вошапкин А. Л., </w:t>
            </w:r>
            <w:proofErr w:type="spellStart"/>
            <w:r w:rsidR="00502E1A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 w:rsidR="00502E1A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 П. </w:t>
            </w:r>
            <w:r w:rsidR="00502E1A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Применение данных МРТ для построения и исследования </w:t>
            </w:r>
            <w:r w:rsidR="00502E1A" w:rsidRPr="00502E1A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3</w:t>
            </w:r>
            <w:r w:rsidR="00502E1A">
              <w:rPr>
                <w:rFonts w:ascii="Times New Roman" w:hAnsi="Times New Roman" w:cs="Times New Roman"/>
                <w:i/>
                <w:sz w:val="36"/>
                <w:szCs w:val="36"/>
                <w:lang w:val="en-US" w:eastAsia="ru-RU"/>
              </w:rPr>
              <w:t>D</w:t>
            </w:r>
            <w:r w:rsidR="00502E1A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сети сосудов головного мозга</w:t>
            </w:r>
          </w:p>
          <w:p w:rsidR="000E28C7" w:rsidRPr="00502E1A" w:rsidRDefault="000E28C7" w:rsidP="00653EB8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8430B7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Борд</w:t>
            </w:r>
            <w:proofErr w:type="spellEnd"/>
            <w:r w:rsidRPr="008430B7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Елизавета Евгеньевна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8430B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 w:rsidRPr="008430B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8430B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 w:rsidRPr="008430B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А.П.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8430B7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Диаграммы Найквиста для уравнения релаксационных колебаний в гемодинамике головного мозга</w:t>
            </w:r>
            <w:bookmarkStart w:id="0" w:name="_GoBack"/>
            <w:bookmarkEnd w:id="0"/>
          </w:p>
          <w:p w:rsidR="00BA21E8" w:rsidRPr="00BA21E8" w:rsidRDefault="00BA21E8" w:rsidP="00BA21E8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BA21E8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Янькова Галина Сергеевна</w:t>
            </w:r>
            <w:r w:rsidRP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Мальцева С. В.,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 А., Паршин Д. В.,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BA21E8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А. К., Акулов А. Е., Мошкин М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. П.,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Чупахин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 П. </w:t>
            </w:r>
            <w:r w:rsidRPr="00BA21E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Построение и </w:t>
            </w:r>
            <w:r w:rsidRPr="00BA21E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исследование 3D сети сосудов голо</w:t>
            </w:r>
            <w:r w:rsidRPr="00BA21E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вного мозга по данным МРТ мето</w:t>
            </w:r>
            <w:r w:rsidRPr="00BA21E8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дом варьирования сканирующей плоскости</w:t>
            </w:r>
          </w:p>
        </w:tc>
      </w:tr>
      <w:tr w:rsidR="0086025E" w:rsidRPr="00265EDE" w:rsidTr="0086025E">
        <w:tc>
          <w:tcPr>
            <w:tcW w:w="844" w:type="pct"/>
          </w:tcPr>
          <w:p w:rsidR="0086025E" w:rsidRPr="00265EDE" w:rsidRDefault="000E28C7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86025E" w:rsidRPr="005470A7" w:rsidRDefault="006B712D" w:rsidP="00E5139D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Закрытие конференции, подведение итогов, дискуссия</w:t>
            </w:r>
          </w:p>
        </w:tc>
      </w:tr>
      <w:tr w:rsidR="006B712D" w:rsidRPr="00265EDE" w:rsidTr="0086025E">
        <w:tc>
          <w:tcPr>
            <w:tcW w:w="844" w:type="pct"/>
          </w:tcPr>
          <w:p w:rsidR="006B712D" w:rsidRDefault="006B712D" w:rsidP="00E5139D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56" w:type="pct"/>
          </w:tcPr>
          <w:p w:rsidR="006B712D" w:rsidRPr="00265EDE" w:rsidRDefault="006B712D" w:rsidP="00E5139D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</w:rPr>
              <w:t>Фуршет, Технопарк 13 этаж</w:t>
            </w:r>
          </w:p>
        </w:tc>
      </w:tr>
    </w:tbl>
    <w:p w:rsidR="0086025E" w:rsidRDefault="0086025E" w:rsidP="00353804">
      <w:p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025E" w:rsidRDefault="0086025E" w:rsidP="00860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6025E" w:rsidRDefault="0086025E" w:rsidP="00353804">
      <w:p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1304" w:rsidRDefault="000E28C7"/>
    <w:sectPr w:rsidR="001F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CC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E"/>
    <w:rsid w:val="000E28C7"/>
    <w:rsid w:val="00353804"/>
    <w:rsid w:val="00354644"/>
    <w:rsid w:val="003E5A05"/>
    <w:rsid w:val="00502E1A"/>
    <w:rsid w:val="00615A46"/>
    <w:rsid w:val="00653EB8"/>
    <w:rsid w:val="006B712D"/>
    <w:rsid w:val="008430B7"/>
    <w:rsid w:val="0086025E"/>
    <w:rsid w:val="00A31A64"/>
    <w:rsid w:val="00B44C63"/>
    <w:rsid w:val="00BA21E8"/>
    <w:rsid w:val="00BB5BE9"/>
    <w:rsid w:val="00C80EA2"/>
    <w:rsid w:val="00D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E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2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E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2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Danilova</cp:lastModifiedBy>
  <cp:revision>12</cp:revision>
  <cp:lastPrinted>2016-03-01T09:19:00Z</cp:lastPrinted>
  <dcterms:created xsi:type="dcterms:W3CDTF">2016-03-01T04:21:00Z</dcterms:created>
  <dcterms:modified xsi:type="dcterms:W3CDTF">2016-03-01T09:28:00Z</dcterms:modified>
</cp:coreProperties>
</file>