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A4" w:rsidRDefault="00286AD4" w:rsidP="00942A37">
      <w:pPr>
        <w:contextualSpacing/>
        <w:rPr>
          <w:sz w:val="48"/>
          <w:szCs w:val="48"/>
        </w:rPr>
      </w:pPr>
      <w:r w:rsidRPr="00286AD4">
        <w:rPr>
          <w:sz w:val="48"/>
          <w:szCs w:val="48"/>
        </w:rPr>
        <w:t>Деятельность библиотеки вуза культуры в условиях мониторинга науки</w:t>
      </w:r>
    </w:p>
    <w:p w:rsidR="00286AD4" w:rsidRPr="008222EA" w:rsidRDefault="00286AD4" w:rsidP="00286AD4">
      <w:pPr>
        <w:contextualSpacing/>
        <w:rPr>
          <w:i/>
          <w:color w:val="0065B0"/>
          <w:sz w:val="28"/>
          <w:szCs w:val="28"/>
        </w:rPr>
      </w:pPr>
    </w:p>
    <w:p w:rsidR="00740F68" w:rsidRDefault="00286AD4" w:rsidP="00286AD4">
      <w:pPr>
        <w:contextualSpacing/>
        <w:rPr>
          <w:i/>
          <w:color w:val="0065B0"/>
        </w:rPr>
      </w:pPr>
      <w:r w:rsidRPr="00286AD4">
        <w:rPr>
          <w:i/>
          <w:color w:val="0065B0"/>
        </w:rPr>
        <w:t>Сотрудники НБ ЧГАКИ пров</w:t>
      </w:r>
      <w:r>
        <w:rPr>
          <w:i/>
          <w:color w:val="0065B0"/>
        </w:rPr>
        <w:t>ели</w:t>
      </w:r>
      <w:r w:rsidRPr="00286AD4">
        <w:rPr>
          <w:i/>
          <w:color w:val="0065B0"/>
        </w:rPr>
        <w:t xml:space="preserve"> сравнительный анализ публикационной активности ведущих вузов культуры и искусств</w:t>
      </w:r>
      <w:r>
        <w:rPr>
          <w:i/>
          <w:color w:val="0065B0"/>
        </w:rPr>
        <w:t xml:space="preserve"> Российской Федерации. </w:t>
      </w:r>
      <w:r w:rsidRPr="00286AD4">
        <w:rPr>
          <w:i/>
          <w:color w:val="0065B0"/>
        </w:rPr>
        <w:t>Благодаря качественной работе специалистов библиотеки изменились в сторону увеличения библиометрические показатели ученых академии и вуза соответственно.</w:t>
      </w:r>
    </w:p>
    <w:p w:rsidR="00286AD4" w:rsidRPr="008222EA" w:rsidRDefault="00286AD4" w:rsidP="00286AD4">
      <w:pPr>
        <w:contextualSpacing/>
        <w:rPr>
          <w:i/>
          <w:color w:val="0065B0"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286AD4" w:rsidTr="00286AD4">
        <w:trPr>
          <w:trHeight w:val="700"/>
        </w:trPr>
        <w:tc>
          <w:tcPr>
            <w:tcW w:w="9003" w:type="dxa"/>
          </w:tcPr>
          <w:p w:rsidR="00286AD4" w:rsidRPr="007B4522" w:rsidRDefault="00286AD4" w:rsidP="00942A37">
            <w:pPr>
              <w:jc w:val="center"/>
              <w:rPr>
                <w:sz w:val="20"/>
                <w:szCs w:val="20"/>
              </w:rPr>
            </w:pPr>
            <w:r w:rsidRPr="00286AD4">
              <w:rPr>
                <w:sz w:val="20"/>
                <w:szCs w:val="20"/>
              </w:rPr>
              <w:t>Бачурина И. А.</w:t>
            </w:r>
          </w:p>
          <w:p w:rsidR="00286AD4" w:rsidRPr="007B4522" w:rsidRDefault="00286AD4" w:rsidP="00286AD4">
            <w:pPr>
              <w:jc w:val="center"/>
              <w:rPr>
                <w:sz w:val="20"/>
                <w:szCs w:val="20"/>
              </w:rPr>
            </w:pPr>
            <w:r w:rsidRPr="00286AD4">
              <w:rPr>
                <w:sz w:val="20"/>
                <w:szCs w:val="20"/>
              </w:rPr>
              <w:t>Челябинская государственная академия культуры и искусств</w:t>
            </w:r>
          </w:p>
        </w:tc>
      </w:tr>
    </w:tbl>
    <w:p w:rsidR="007B4522" w:rsidRDefault="007B4522" w:rsidP="00942A37">
      <w:pPr>
        <w:jc w:val="center"/>
        <w:rPr>
          <w:sz w:val="22"/>
          <w:szCs w:val="22"/>
        </w:rPr>
      </w:pPr>
    </w:p>
    <w:p w:rsidR="007B2DB8" w:rsidRDefault="007B2DB8" w:rsidP="00942A37">
      <w:pPr>
        <w:jc w:val="both"/>
        <w:rPr>
          <w:sz w:val="22"/>
          <w:szCs w:val="22"/>
        </w:rPr>
      </w:pPr>
    </w:p>
    <w:p w:rsidR="007B4522" w:rsidRPr="008222EA" w:rsidRDefault="007B4522" w:rsidP="00942A37">
      <w:pPr>
        <w:jc w:val="both"/>
        <w:rPr>
          <w:sz w:val="22"/>
          <w:szCs w:val="22"/>
        </w:rPr>
        <w:sectPr w:rsidR="007B4522" w:rsidRPr="008222EA" w:rsidSect="00AF07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701" w:header="709" w:footer="357" w:gutter="0"/>
          <w:cols w:space="708"/>
          <w:docGrid w:linePitch="360"/>
        </w:sectPr>
      </w:pPr>
    </w:p>
    <w:p w:rsidR="00286AD4" w:rsidRDefault="00EA1A38" w:rsidP="00942A37">
      <w:pPr>
        <w:spacing w:after="120"/>
        <w:jc w:val="both"/>
        <w:rPr>
          <w:sz w:val="20"/>
          <w:szCs w:val="20"/>
        </w:rPr>
      </w:pPr>
      <w:r w:rsidRPr="008222EA">
        <w:rPr>
          <w:b/>
          <w:i/>
          <w:sz w:val="20"/>
          <w:szCs w:val="20"/>
        </w:rPr>
        <w:lastRenderedPageBreak/>
        <w:t>Аннотация</w:t>
      </w:r>
      <w:r w:rsidR="00417806" w:rsidRPr="008222EA">
        <w:rPr>
          <w:b/>
          <w:sz w:val="20"/>
          <w:szCs w:val="20"/>
        </w:rPr>
        <w:t xml:space="preserve"> </w:t>
      </w:r>
      <w:r w:rsidR="00D749EF" w:rsidRPr="008222EA">
        <w:rPr>
          <w:b/>
          <w:sz w:val="20"/>
          <w:szCs w:val="20"/>
        </w:rPr>
        <w:t xml:space="preserve">– </w:t>
      </w:r>
      <w:r w:rsidR="00286AD4">
        <w:rPr>
          <w:sz w:val="20"/>
          <w:szCs w:val="20"/>
        </w:rPr>
        <w:t>Би</w:t>
      </w:r>
      <w:r w:rsidR="00286AD4" w:rsidRPr="00286AD4">
        <w:rPr>
          <w:sz w:val="20"/>
          <w:szCs w:val="20"/>
        </w:rPr>
        <w:t xml:space="preserve">блиотека </w:t>
      </w:r>
      <w:r w:rsidR="00286AD4">
        <w:rPr>
          <w:sz w:val="20"/>
          <w:szCs w:val="20"/>
        </w:rPr>
        <w:t>Челябинской государственной академии культуры и искусства в</w:t>
      </w:r>
      <w:r w:rsidR="00286AD4" w:rsidRPr="00286AD4">
        <w:rPr>
          <w:sz w:val="20"/>
          <w:szCs w:val="20"/>
        </w:rPr>
        <w:t>ызвалась выполнять новый для себя вид работы – администрирование дополнительных сервисов для авторов, научных организаций и издательств в информационно-аналитической системе Sciense Index. Сотрудники библиотеки занялись всем необходимым комплексом работ: созданием авторских профилей, редактированием библиографических записей, внесению в данных о новых публикациях авторов, отсечению публикаций, авторами которых являются однофамильцы из других учреждений</w:t>
      </w:r>
      <w:r w:rsidR="00286AD4">
        <w:rPr>
          <w:sz w:val="20"/>
          <w:szCs w:val="20"/>
        </w:rPr>
        <w:t>. Б</w:t>
      </w:r>
      <w:r w:rsidR="00286AD4" w:rsidRPr="00286AD4">
        <w:rPr>
          <w:sz w:val="20"/>
          <w:szCs w:val="20"/>
        </w:rPr>
        <w:t>лагодаря качественной работе специалистов библиотеки изменились в сторону увеличения библиометрические показатели ученых академии и вуза соответственно</w:t>
      </w:r>
      <w:r w:rsidR="00286AD4">
        <w:rPr>
          <w:sz w:val="20"/>
          <w:szCs w:val="20"/>
        </w:rPr>
        <w:t>.</w:t>
      </w:r>
      <w:r w:rsidR="00286AD4" w:rsidRPr="00286AD4">
        <w:rPr>
          <w:sz w:val="20"/>
          <w:szCs w:val="20"/>
        </w:rPr>
        <w:t xml:space="preserve"> </w:t>
      </w:r>
    </w:p>
    <w:p w:rsidR="00D749EF" w:rsidRDefault="00EA1A38" w:rsidP="00942A37">
      <w:pPr>
        <w:spacing w:after="120"/>
        <w:jc w:val="both"/>
        <w:rPr>
          <w:sz w:val="20"/>
          <w:szCs w:val="20"/>
        </w:rPr>
      </w:pPr>
      <w:r w:rsidRPr="008222EA">
        <w:rPr>
          <w:b/>
          <w:i/>
          <w:sz w:val="20"/>
          <w:szCs w:val="20"/>
        </w:rPr>
        <w:t>Ключевые слова</w:t>
      </w:r>
      <w:r w:rsidR="00D749EF" w:rsidRPr="008222EA">
        <w:rPr>
          <w:b/>
          <w:i/>
          <w:sz w:val="20"/>
          <w:szCs w:val="20"/>
        </w:rPr>
        <w:t xml:space="preserve"> –</w:t>
      </w:r>
      <w:r w:rsidR="00417806" w:rsidRPr="008222EA">
        <w:rPr>
          <w:b/>
          <w:sz w:val="20"/>
          <w:szCs w:val="20"/>
        </w:rPr>
        <w:t xml:space="preserve"> </w:t>
      </w:r>
      <w:r w:rsidR="00AC7042">
        <w:rPr>
          <w:sz w:val="20"/>
          <w:szCs w:val="20"/>
        </w:rPr>
        <w:t xml:space="preserve">анализ публикационной активности, </w:t>
      </w:r>
      <w:bookmarkStart w:id="0" w:name="_GoBack"/>
      <w:bookmarkEnd w:id="0"/>
      <w:r w:rsidR="00AC7042">
        <w:rPr>
          <w:sz w:val="20"/>
          <w:szCs w:val="20"/>
        </w:rPr>
        <w:t>вузы культуры</w:t>
      </w:r>
    </w:p>
    <w:p w:rsidR="00264B0E" w:rsidRDefault="00264B0E" w:rsidP="00942A37">
      <w:pPr>
        <w:spacing w:after="120"/>
        <w:jc w:val="both"/>
        <w:rPr>
          <w:sz w:val="20"/>
          <w:szCs w:val="20"/>
        </w:rPr>
      </w:pPr>
    </w:p>
    <w:p w:rsidR="00F22455" w:rsidRPr="00942A37" w:rsidRDefault="00F90F93" w:rsidP="00942A37">
      <w:pPr>
        <w:pStyle w:val="ab"/>
        <w:numPr>
          <w:ilvl w:val="0"/>
          <w:numId w:val="7"/>
        </w:numPr>
        <w:spacing w:before="240" w:after="120"/>
        <w:jc w:val="center"/>
        <w:rPr>
          <w:b/>
          <w:caps/>
          <w:color w:val="C00000"/>
          <w:sz w:val="20"/>
          <w:szCs w:val="20"/>
        </w:rPr>
      </w:pPr>
      <w:r w:rsidRPr="00942A37">
        <w:rPr>
          <w:b/>
          <w:caps/>
          <w:color w:val="C00000"/>
          <w:sz w:val="20"/>
          <w:szCs w:val="20"/>
        </w:rPr>
        <w:t>Введение</w:t>
      </w:r>
    </w:p>
    <w:p w:rsidR="00942A37" w:rsidRPr="00942A37" w:rsidRDefault="00942A37" w:rsidP="00942A37">
      <w:pPr>
        <w:pStyle w:val="ab"/>
        <w:spacing w:before="240" w:after="120"/>
        <w:ind w:left="1080"/>
        <w:jc w:val="center"/>
        <w:rPr>
          <w:b/>
          <w:caps/>
          <w:color w:val="C00000"/>
          <w:sz w:val="20"/>
          <w:szCs w:val="20"/>
        </w:rPr>
      </w:pPr>
    </w:p>
    <w:p w:rsidR="00D749EF" w:rsidRPr="008222EA" w:rsidRDefault="00286AD4" w:rsidP="00942A37">
      <w:pPr>
        <w:keepNext/>
        <w:framePr w:dropCap="drop" w:lines="2" w:h="495" w:hRule="exact" w:wrap="around" w:vAnchor="text" w:hAnchor="text"/>
        <w:spacing w:after="120" w:line="495" w:lineRule="exact"/>
        <w:jc w:val="both"/>
        <w:textAlignment w:val="baseline"/>
        <w:rPr>
          <w:b/>
          <w:color w:val="C00000"/>
          <w:position w:val="-5"/>
          <w:sz w:val="61"/>
          <w:szCs w:val="60"/>
        </w:rPr>
      </w:pPr>
      <w:r>
        <w:rPr>
          <w:b/>
          <w:color w:val="C00000"/>
          <w:position w:val="-5"/>
          <w:sz w:val="61"/>
          <w:szCs w:val="60"/>
        </w:rPr>
        <w:t>О</w:t>
      </w:r>
    </w:p>
    <w:p w:rsidR="00286AD4" w:rsidRDefault="00286AD4" w:rsidP="00286AD4">
      <w:pPr>
        <w:contextualSpacing/>
        <w:jc w:val="both"/>
      </w:pPr>
      <w:r>
        <w:rPr>
          <w:color w:val="000000"/>
        </w:rPr>
        <w:t xml:space="preserve">ДНИМ ИЗ ВАЖНЫХ КРИТЕРИЕВ РЕЗУЛЬТАТИВНОСТИ </w:t>
      </w:r>
      <w:r>
        <w:t xml:space="preserve">научно-исследовательской деятельности являются количество публикаций и их цитирование. </w:t>
      </w:r>
    </w:p>
    <w:p w:rsidR="00286AD4" w:rsidRDefault="00286AD4" w:rsidP="00286AD4">
      <w:pPr>
        <w:ind w:firstLine="284"/>
        <w:contextualSpacing/>
        <w:jc w:val="both"/>
      </w:pPr>
      <w:r>
        <w:t>С 2009 года в Российской Федерации появилось большое количество нормативных документов, в которых даны конкретные параметры оценки эффективности научной работы. Перечислю некоторые из них:</w:t>
      </w:r>
    </w:p>
    <w:p w:rsidR="00286AD4" w:rsidRDefault="00286AD4" w:rsidP="00286AD4">
      <w:pPr>
        <w:ind w:firstLine="284"/>
        <w:contextualSpacing/>
        <w:jc w:val="both"/>
      </w:pPr>
      <w:r>
        <w:t>– постановление Правительства Российской Федерации от 08.04.2009 № 312 «Об оценке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назначения»;</w:t>
      </w:r>
    </w:p>
    <w:p w:rsidR="00286AD4" w:rsidRDefault="00286AD4" w:rsidP="00286AD4">
      <w:pPr>
        <w:ind w:firstLine="284"/>
        <w:contextualSpacing/>
        <w:jc w:val="both"/>
      </w:pPr>
      <w:r>
        <w:t>– указ Президента Российской Федерации от 07.09.2012 № 599 «О мерах по реализации государственной политики в области образования и науки;</w:t>
      </w:r>
    </w:p>
    <w:p w:rsidR="00286AD4" w:rsidRPr="00B450D9" w:rsidRDefault="00286AD4" w:rsidP="00286AD4">
      <w:pPr>
        <w:ind w:firstLine="284"/>
        <w:contextualSpacing/>
        <w:jc w:val="both"/>
        <w:rPr>
          <w:lang w:val="en-US"/>
        </w:rPr>
      </w:pPr>
      <w:r>
        <w:t>– «Перечень показателей оценки эффективности деятельности федеральных государственных образовательных учреждений высшего профессионального образования и их филиалов» от 09.08.2012, утв. Министерством образования и науки РФ № АК-11/05вн</w:t>
      </w:r>
      <w:r w:rsidR="00B450D9">
        <w:rPr>
          <w:lang w:val="en-US"/>
        </w:rPr>
        <w:t>;</w:t>
      </w:r>
    </w:p>
    <w:p w:rsidR="00286AD4" w:rsidRDefault="00286AD4" w:rsidP="00286AD4">
      <w:pPr>
        <w:ind w:firstLine="284"/>
        <w:contextualSpacing/>
        <w:jc w:val="both"/>
      </w:pPr>
      <w:r>
        <w:t>– приказ Министерства образования и науки РФ от 29.05.2013 № 409 «Об оптимизации сети советов по защите диссертаций на соискание ученой степени кандидата наук, на соискание ученой степени доктора наук»;</w:t>
      </w:r>
    </w:p>
    <w:p w:rsidR="00264B0E" w:rsidRDefault="00286AD4" w:rsidP="00286AD4">
      <w:pPr>
        <w:ind w:firstLine="284"/>
        <w:contextualSpacing/>
        <w:jc w:val="both"/>
      </w:pPr>
      <w:r>
        <w:lastRenderedPageBreak/>
        <w:t>– письмо Министерства образования и науки РФ от 04.06.2013 № 13-1933 «Об организации мониторинга деятельности сети диссертационных советов».</w:t>
      </w:r>
    </w:p>
    <w:p w:rsidR="00286AD4" w:rsidRPr="008222EA" w:rsidRDefault="00286AD4" w:rsidP="00286AD4">
      <w:pPr>
        <w:ind w:firstLine="284"/>
        <w:contextualSpacing/>
        <w:jc w:val="both"/>
        <w:rPr>
          <w:color w:val="000000"/>
        </w:rPr>
      </w:pPr>
    </w:p>
    <w:p w:rsidR="007C26E3" w:rsidRPr="00942A37" w:rsidRDefault="00F90F93" w:rsidP="00264B0E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942A37">
        <w:rPr>
          <w:b/>
          <w:caps/>
          <w:color w:val="C00000"/>
        </w:rPr>
        <w:t>Постановка задачи</w:t>
      </w:r>
    </w:p>
    <w:p w:rsidR="00942A37" w:rsidRPr="00942A37" w:rsidRDefault="00942A37" w:rsidP="00264B0E">
      <w:pPr>
        <w:pStyle w:val="ab"/>
        <w:ind w:left="1080"/>
        <w:jc w:val="center"/>
        <w:rPr>
          <w:b/>
          <w:caps/>
          <w:color w:val="C00000"/>
        </w:rPr>
      </w:pPr>
    </w:p>
    <w:p w:rsidR="00286AD4" w:rsidRPr="00286AD4" w:rsidRDefault="00286AD4" w:rsidP="00286AD4">
      <w:pPr>
        <w:ind w:firstLine="284"/>
        <w:contextualSpacing/>
        <w:jc w:val="both"/>
        <w:rPr>
          <w:color w:val="000000"/>
        </w:rPr>
      </w:pPr>
      <w:r w:rsidRPr="00286AD4">
        <w:rPr>
          <w:color w:val="000000"/>
        </w:rPr>
        <w:t xml:space="preserve">В мире существуют национальные базы данных для определения индекса цитирования и проведения библиометрических исследований: </w:t>
      </w:r>
    </w:p>
    <w:p w:rsidR="00286AD4" w:rsidRPr="00286AD4" w:rsidRDefault="00286AD4" w:rsidP="00286AD4">
      <w:pPr>
        <w:ind w:firstLine="284"/>
        <w:contextualSpacing/>
        <w:jc w:val="both"/>
        <w:rPr>
          <w:color w:val="000000"/>
          <w:lang w:val="en-US"/>
        </w:rPr>
      </w:pPr>
      <w:r w:rsidRPr="00286AD4">
        <w:rPr>
          <w:color w:val="000000"/>
          <w:lang w:val="en-US"/>
        </w:rPr>
        <w:t>•Chinese Science Citation Database (</w:t>
      </w:r>
      <w:r w:rsidRPr="00286AD4">
        <w:rPr>
          <w:color w:val="000000"/>
        </w:rPr>
        <w:t>Китай</w:t>
      </w:r>
      <w:r w:rsidRPr="00286AD4">
        <w:rPr>
          <w:color w:val="000000"/>
          <w:lang w:val="en-US"/>
        </w:rPr>
        <w:t xml:space="preserve">); </w:t>
      </w:r>
    </w:p>
    <w:p w:rsidR="00286AD4" w:rsidRPr="00286AD4" w:rsidRDefault="00286AD4" w:rsidP="00286AD4">
      <w:pPr>
        <w:ind w:firstLine="284"/>
        <w:contextualSpacing/>
        <w:jc w:val="both"/>
        <w:rPr>
          <w:color w:val="000000"/>
          <w:lang w:val="en-US"/>
        </w:rPr>
      </w:pPr>
      <w:r w:rsidRPr="00286AD4">
        <w:rPr>
          <w:color w:val="000000"/>
          <w:lang w:val="en-US"/>
        </w:rPr>
        <w:t>•Citation Database for Japanese Papers (</w:t>
      </w:r>
      <w:r w:rsidRPr="00286AD4">
        <w:rPr>
          <w:color w:val="000000"/>
        </w:rPr>
        <w:t>Япония</w:t>
      </w:r>
      <w:r w:rsidRPr="00286AD4">
        <w:rPr>
          <w:color w:val="000000"/>
          <w:lang w:val="en-US"/>
        </w:rPr>
        <w:t xml:space="preserve">); </w:t>
      </w:r>
    </w:p>
    <w:p w:rsidR="00286AD4" w:rsidRPr="00286AD4" w:rsidRDefault="00286AD4" w:rsidP="00286AD4">
      <w:pPr>
        <w:ind w:firstLine="284"/>
        <w:contextualSpacing/>
        <w:jc w:val="both"/>
        <w:rPr>
          <w:color w:val="000000"/>
          <w:lang w:val="en-US"/>
        </w:rPr>
      </w:pPr>
      <w:r w:rsidRPr="00286AD4">
        <w:rPr>
          <w:color w:val="000000"/>
          <w:lang w:val="en-US"/>
        </w:rPr>
        <w:t xml:space="preserve">•Science Citation Index (SCI) – </w:t>
      </w:r>
      <w:r w:rsidRPr="00286AD4">
        <w:rPr>
          <w:color w:val="000000"/>
        </w:rPr>
        <w:t>интернет</w:t>
      </w:r>
      <w:r w:rsidRPr="00286AD4">
        <w:rPr>
          <w:b/>
          <w:color w:val="000000"/>
          <w:lang w:val="en-US"/>
        </w:rPr>
        <w:t>-</w:t>
      </w:r>
      <w:r w:rsidRPr="00286AD4">
        <w:rPr>
          <w:color w:val="000000"/>
        </w:rPr>
        <w:t>версия</w:t>
      </w:r>
      <w:r w:rsidRPr="00286AD4">
        <w:rPr>
          <w:color w:val="000000"/>
          <w:lang w:val="en-US"/>
        </w:rPr>
        <w:t xml:space="preserve"> Web of Science (WOS) </w:t>
      </w:r>
      <w:r w:rsidRPr="00286AD4">
        <w:rPr>
          <w:color w:val="000000"/>
        </w:rPr>
        <w:t>Института</w:t>
      </w:r>
      <w:r w:rsidRPr="00286AD4">
        <w:rPr>
          <w:color w:val="000000"/>
          <w:lang w:val="en-US"/>
        </w:rPr>
        <w:t xml:space="preserve"> </w:t>
      </w:r>
      <w:r w:rsidRPr="00286AD4">
        <w:rPr>
          <w:color w:val="000000"/>
        </w:rPr>
        <w:t>научной</w:t>
      </w:r>
      <w:r w:rsidRPr="00286AD4">
        <w:rPr>
          <w:color w:val="000000"/>
          <w:lang w:val="en-US"/>
        </w:rPr>
        <w:t xml:space="preserve"> </w:t>
      </w:r>
      <w:r w:rsidRPr="00286AD4">
        <w:rPr>
          <w:color w:val="000000"/>
        </w:rPr>
        <w:t>информации</w:t>
      </w:r>
      <w:r w:rsidRPr="00286AD4">
        <w:rPr>
          <w:color w:val="000000"/>
          <w:lang w:val="en-US"/>
        </w:rPr>
        <w:t xml:space="preserve"> (ISI) (</w:t>
      </w:r>
      <w:r w:rsidRPr="00286AD4">
        <w:rPr>
          <w:color w:val="000000"/>
        </w:rPr>
        <w:t>США</w:t>
      </w:r>
      <w:r w:rsidRPr="00286AD4">
        <w:rPr>
          <w:color w:val="000000"/>
          <w:lang w:val="en-US"/>
        </w:rPr>
        <w:t xml:space="preserve">) (http://scientific.thomson.com/); </w:t>
      </w:r>
    </w:p>
    <w:p w:rsidR="00286AD4" w:rsidRPr="00286AD4" w:rsidRDefault="00286AD4" w:rsidP="00286AD4">
      <w:pPr>
        <w:ind w:firstLine="284"/>
        <w:contextualSpacing/>
        <w:jc w:val="both"/>
        <w:rPr>
          <w:color w:val="000000"/>
        </w:rPr>
      </w:pPr>
      <w:r w:rsidRPr="00286AD4">
        <w:rPr>
          <w:color w:val="000000"/>
        </w:rPr>
        <w:t xml:space="preserve">•Scopus </w:t>
      </w:r>
      <w:r>
        <w:rPr>
          <w:color w:val="000000"/>
        </w:rPr>
        <w:t>–</w:t>
      </w:r>
      <w:r w:rsidRPr="00286AD4">
        <w:rPr>
          <w:color w:val="000000"/>
        </w:rPr>
        <w:t xml:space="preserve"> междисциплинарная БД издательства Elsevier (международная http://www.elsevier.ru); </w:t>
      </w:r>
    </w:p>
    <w:p w:rsidR="00286AD4" w:rsidRPr="00286AD4" w:rsidRDefault="00286AD4" w:rsidP="00286AD4">
      <w:pPr>
        <w:ind w:firstLine="284"/>
        <w:contextualSpacing/>
        <w:jc w:val="both"/>
        <w:rPr>
          <w:color w:val="000000"/>
        </w:rPr>
      </w:pPr>
      <w:r w:rsidRPr="00286AD4">
        <w:rPr>
          <w:color w:val="000000"/>
        </w:rPr>
        <w:t xml:space="preserve">•Российский индекс научного цитирования </w:t>
      </w:r>
      <w:r>
        <w:rPr>
          <w:color w:val="000000"/>
        </w:rPr>
        <w:t>(</w:t>
      </w:r>
      <w:r w:rsidRPr="00286AD4">
        <w:rPr>
          <w:color w:val="000000"/>
        </w:rPr>
        <w:t>РИНЦ</w:t>
      </w:r>
      <w:r>
        <w:rPr>
          <w:color w:val="000000"/>
        </w:rPr>
        <w:t>)</w:t>
      </w:r>
      <w:r w:rsidRPr="00286AD4">
        <w:rPr>
          <w:color w:val="000000"/>
        </w:rPr>
        <w:t xml:space="preserve"> (http://elibrary.ru/defaultx.asp);</w:t>
      </w:r>
    </w:p>
    <w:p w:rsidR="00286AD4" w:rsidRDefault="00286AD4" w:rsidP="00286AD4">
      <w:pPr>
        <w:ind w:firstLine="284"/>
        <w:contextualSpacing/>
        <w:jc w:val="both"/>
        <w:rPr>
          <w:color w:val="000000"/>
        </w:rPr>
      </w:pPr>
      <w:r w:rsidRPr="00286AD4">
        <w:rPr>
          <w:color w:val="000000"/>
        </w:rPr>
        <w:t>Наиболее авторитетными базами данных о публикациях и количестве цитирований являются известные всем Web of Science и Scopus.</w:t>
      </w:r>
    </w:p>
    <w:p w:rsidR="00286AD4" w:rsidRPr="00286AD4" w:rsidRDefault="00286AD4" w:rsidP="00286AD4">
      <w:pPr>
        <w:ind w:firstLine="284"/>
        <w:contextualSpacing/>
        <w:jc w:val="both"/>
        <w:rPr>
          <w:color w:val="000000"/>
        </w:rPr>
      </w:pPr>
      <w:r w:rsidRPr="00286AD4">
        <w:rPr>
          <w:color w:val="000000"/>
        </w:rPr>
        <w:t xml:space="preserve">Для сферы культуры и искусства русскоязычных журналов, которые индексируются в этих базах данных, очень немного. По нашим данным на начало 2015 года их насчитывалось всего 28 из 200 российских журналов. Это журналы общегуманитарной тематики. Только 4 статьи преподавателей Челябинской академии культуры и искусств отражены в этих базах данных. Это работы двух ведущих профессоров нашего вуза. </w:t>
      </w:r>
    </w:p>
    <w:p w:rsidR="00264B0E" w:rsidRDefault="00286AD4" w:rsidP="00286AD4">
      <w:pPr>
        <w:ind w:firstLine="284"/>
        <w:contextualSpacing/>
        <w:jc w:val="both"/>
        <w:rPr>
          <w:color w:val="000000"/>
        </w:rPr>
      </w:pPr>
      <w:r w:rsidRPr="00286AD4">
        <w:rPr>
          <w:color w:val="000000"/>
        </w:rPr>
        <w:t>В России функцию определения индекса цитирований и проведения библиометрических исследований выполняет база данных РИНЦ. В ее задачи входит создание многоцелевой поисковой системы по публикациям российских ученых; разработка механизмов и инструментария для статистического анализа отечественной науки; определение импакт-фактора российских журналов; создание и формирование единого реестра публикаций российских ученых.</w:t>
      </w:r>
    </w:p>
    <w:p w:rsidR="00286AD4" w:rsidRPr="008222EA" w:rsidRDefault="00286AD4" w:rsidP="00286AD4">
      <w:pPr>
        <w:ind w:firstLine="284"/>
        <w:contextualSpacing/>
        <w:jc w:val="both"/>
        <w:rPr>
          <w:color w:val="000000"/>
        </w:rPr>
      </w:pPr>
    </w:p>
    <w:p w:rsidR="00CD2E3E" w:rsidRPr="00942A37" w:rsidRDefault="00F90F93" w:rsidP="00264B0E">
      <w:pPr>
        <w:pStyle w:val="ab"/>
        <w:numPr>
          <w:ilvl w:val="0"/>
          <w:numId w:val="7"/>
        </w:numPr>
        <w:jc w:val="center"/>
        <w:rPr>
          <w:b/>
          <w:smallCaps/>
          <w:color w:val="C00000"/>
        </w:rPr>
      </w:pPr>
      <w:r w:rsidRPr="00942A37">
        <w:rPr>
          <w:b/>
          <w:smallCaps/>
          <w:color w:val="C00000"/>
        </w:rPr>
        <w:t xml:space="preserve">Результаты </w:t>
      </w:r>
    </w:p>
    <w:p w:rsidR="00942A37" w:rsidRPr="00942A37" w:rsidRDefault="00942A37" w:rsidP="00264B0E">
      <w:pPr>
        <w:pStyle w:val="ab"/>
        <w:ind w:left="1080"/>
        <w:jc w:val="center"/>
        <w:rPr>
          <w:b/>
          <w:color w:val="C00000"/>
        </w:rPr>
      </w:pPr>
    </w:p>
    <w:p w:rsidR="00286AD4" w:rsidRPr="00286AD4" w:rsidRDefault="00286AD4" w:rsidP="00B450D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AD4">
        <w:rPr>
          <w:rFonts w:eastAsia="Calibri"/>
          <w:sz w:val="28"/>
          <w:szCs w:val="28"/>
          <w:lang w:eastAsia="en-US"/>
        </w:rPr>
        <w:t xml:space="preserve">По данным из отчетов по научно-исследовательской работе кафедр </w:t>
      </w:r>
      <w:r w:rsidR="00B450D9" w:rsidRPr="00B450D9">
        <w:rPr>
          <w:rFonts w:eastAsia="Calibri"/>
          <w:sz w:val="28"/>
          <w:szCs w:val="28"/>
          <w:lang w:eastAsia="en-US"/>
        </w:rPr>
        <w:t>Челябинской государственной академии культуры и искусства</w:t>
      </w:r>
      <w:r w:rsidRPr="00286AD4">
        <w:rPr>
          <w:rFonts w:eastAsia="Calibri"/>
          <w:sz w:val="28"/>
          <w:szCs w:val="28"/>
          <w:lang w:eastAsia="en-US"/>
        </w:rPr>
        <w:t>, с 2008 по 2014 год наши преподаватели опубликовали в ведущих рецензируемых журналах 458 статей. [3, с. 55]. Несмотря на это, в РИНЦ данные о публикациях, аффилированных</w:t>
      </w:r>
      <w:r w:rsidRPr="00286AD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86AD4">
        <w:rPr>
          <w:rFonts w:eastAsia="Calibri"/>
          <w:sz w:val="28"/>
          <w:szCs w:val="28"/>
          <w:lang w:eastAsia="en-US"/>
        </w:rPr>
        <w:t xml:space="preserve">с академией, были ничтожно малы. Для объективизации этих данных требовалась регистрация преподавателей в РИНЦ. Научная библиотека академии взяла на себя функцию продвижения этого ресурса, обучения работы с ним. К сожалению, на начальном этапе работы с преподавателями по размещению информации об их публикациях в РИНЦ библиотека столкнулась с отсутствием их заинтересованности в этом. Многие воспринимали эту услугу библиотеки как бесполезную. И даже переход на «эффективный контракт» в соответствии с Приказами и распоряжениями </w:t>
      </w:r>
      <w:r w:rsidRPr="00286AD4">
        <w:rPr>
          <w:rFonts w:eastAsia="Calibri"/>
          <w:sz w:val="28"/>
          <w:szCs w:val="28"/>
          <w:lang w:eastAsia="en-US"/>
        </w:rPr>
        <w:lastRenderedPageBreak/>
        <w:t xml:space="preserve">Правительства РФ и профильных Министерств не явился стимулом для активизации профессорско-преподавательского состава академии. </w:t>
      </w:r>
    </w:p>
    <w:p w:rsidR="00286AD4" w:rsidRPr="00286AD4" w:rsidRDefault="00286AD4" w:rsidP="00B450D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AD4">
        <w:rPr>
          <w:rFonts w:eastAsia="Calibri"/>
          <w:sz w:val="28"/>
          <w:szCs w:val="28"/>
          <w:lang w:eastAsia="en-US"/>
        </w:rPr>
        <w:t xml:space="preserve">Для преодоления этого стереотипа сотрудникам научной библиотеки академии пришлось много потрудиться. Сотрудники библиотеки проводили консультационную и разъяснительную работу при проведении «Дней кафедр» (тогда же осуществляли и регистрацию преподавателей в РИНЦ), при встречах с научными руководителями аспирантов и соискателей, и при индивидуальных консультациях, подробная информация размещалась на сайте библиотеки, распространялись информационные буклеты. </w:t>
      </w:r>
    </w:p>
    <w:p w:rsidR="00286AD4" w:rsidRPr="00286AD4" w:rsidRDefault="00286AD4" w:rsidP="00B450D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AD4">
        <w:rPr>
          <w:rFonts w:eastAsia="Calibri"/>
          <w:sz w:val="28"/>
          <w:szCs w:val="28"/>
          <w:lang w:eastAsia="en-US"/>
        </w:rPr>
        <w:t xml:space="preserve">В начале 2015 года на 36-й научно-практической конференции профессорско-преподавательского состава академии «Культура – Искусство – Образование: научные и прикладные аспекты» директор НБ ЧГАКИ прочитала доклад о важности библиометрического анализа публикационной активности и значении этих показателей для академии в целом. Результаты нашей рекламной деятельности давали незначительные результаты.  Отсутствие внимания преподавателей к этим важным вопросам мы объясняем объективными причинами. Многие преподаватели академии не владеют элементарными практическими навыками работы с информационными системами и базами данных. Им не хватает знаний по составлению библиографических описаний, присвоения ключевых слов, написания аннотаций к своим работам. </w:t>
      </w:r>
    </w:p>
    <w:p w:rsidR="00286AD4" w:rsidRPr="00286AD4" w:rsidRDefault="00286AD4" w:rsidP="00B450D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AD4">
        <w:rPr>
          <w:rFonts w:eastAsia="Calibri"/>
          <w:sz w:val="28"/>
          <w:szCs w:val="28"/>
          <w:lang w:eastAsia="en-US"/>
        </w:rPr>
        <w:t xml:space="preserve">Ведущий специалист в сфере наук информационно-коммуникационного цикла, доктор педагогических наук,  профессор академии Т. Ф. Берестова называет причину отсутствия интереса к библиотметрическим исследованиям преподавателей: «в данных учреждениях [творческих вузах] широк круг авторов, чья основная преподавательская деятельность направлена на обучение специалистов, работающих в области музыкального, театрального, хореографического искусств…Эти преподаватели владеют различными практиками в сфере искусства и художественного творчества, многие из которых стараются овладеть методикой преподавания, но в подавляющем своем большинстве плохо осознают цели и специфику научно-исследовательской работы…», поэтому заниматься продвижением результатов научной деятельности преподавателей, «могли бы работники вузовских издательств и библиотек» [2, с. 29, 33]. </w:t>
      </w:r>
    </w:p>
    <w:p w:rsidR="00286AD4" w:rsidRPr="00286AD4" w:rsidRDefault="00286AD4" w:rsidP="00B450D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AD4">
        <w:rPr>
          <w:rFonts w:eastAsia="Calibri"/>
          <w:sz w:val="28"/>
          <w:szCs w:val="28"/>
          <w:lang w:eastAsia="en-US"/>
        </w:rPr>
        <w:t>Чтобы изменить ситуацию, библиотека вызвалась выполнять новый для себя вид работы – администрирование дополнительных сервисов для авторов, научных организаций и издательств</w:t>
      </w:r>
      <w:r w:rsidRPr="00286AD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86AD4">
        <w:rPr>
          <w:rFonts w:eastAsia="Calibri"/>
          <w:sz w:val="28"/>
          <w:szCs w:val="28"/>
          <w:lang w:eastAsia="en-US"/>
        </w:rPr>
        <w:t>в информационно-</w:t>
      </w:r>
      <w:r w:rsidRPr="00286AD4">
        <w:rPr>
          <w:rFonts w:eastAsia="Calibri"/>
          <w:sz w:val="28"/>
          <w:szCs w:val="28"/>
          <w:lang w:eastAsia="en-US"/>
        </w:rPr>
        <w:lastRenderedPageBreak/>
        <w:t xml:space="preserve">аналитической системе </w:t>
      </w:r>
      <w:r w:rsidRPr="00286AD4">
        <w:rPr>
          <w:rFonts w:eastAsia="Calibri"/>
          <w:sz w:val="28"/>
          <w:szCs w:val="28"/>
          <w:lang w:val="en-US" w:eastAsia="en-US"/>
        </w:rPr>
        <w:t>Sciense</w:t>
      </w:r>
      <w:r w:rsidRPr="00286AD4">
        <w:rPr>
          <w:rFonts w:eastAsia="Calibri"/>
          <w:sz w:val="28"/>
          <w:szCs w:val="28"/>
          <w:lang w:eastAsia="en-US"/>
        </w:rPr>
        <w:t xml:space="preserve"> </w:t>
      </w:r>
      <w:r w:rsidRPr="00286AD4">
        <w:rPr>
          <w:rFonts w:eastAsia="Calibri"/>
          <w:sz w:val="28"/>
          <w:szCs w:val="28"/>
          <w:lang w:val="en-US" w:eastAsia="en-US"/>
        </w:rPr>
        <w:t>Index</w:t>
      </w:r>
      <w:r w:rsidRPr="00286AD4">
        <w:rPr>
          <w:rFonts w:eastAsia="Calibri"/>
          <w:sz w:val="28"/>
          <w:szCs w:val="28"/>
          <w:lang w:eastAsia="en-US"/>
        </w:rPr>
        <w:t xml:space="preserve">. Сотрудники библиотеки занялись всем необходимым комплексом работ: созданием авторских профилей, редактированием библиографических записей, внесению в данных о новых публикациях авторов, отсечению публикаций, авторами которых являются однофамильцы из других учреждений. </w:t>
      </w:r>
    </w:p>
    <w:p w:rsidR="00286AD4" w:rsidRPr="00286AD4" w:rsidRDefault="00286AD4" w:rsidP="00B450D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AD4">
        <w:rPr>
          <w:rFonts w:eastAsia="Calibri"/>
          <w:sz w:val="28"/>
          <w:szCs w:val="28"/>
          <w:lang w:eastAsia="en-US"/>
        </w:rPr>
        <w:t>Индекс Хирша ЧГАКИ на период начала работы был равен семи. За полгода он изменился до девяти. За это время сотрудники библиотеки внесли в базу данных сведения о 389</w:t>
      </w:r>
      <w:r w:rsidRPr="00286AD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86AD4">
        <w:rPr>
          <w:rFonts w:eastAsia="Calibri"/>
          <w:sz w:val="28"/>
          <w:szCs w:val="28"/>
          <w:lang w:eastAsia="en-US"/>
        </w:rPr>
        <w:t>статьях и других изданиях преподавателей академии, которые уже прошли проверку в РИНЦ. У преподавателей, откликнувшихся на инициативу библиотеки, стал расти показатель цитирований. У некоторых из них изменился и индекс Хирша. Надо констатировать тот факт, что для сферы культуры и искусства характерны невысокие показатели индекса Хирша по сравнению с техническими, экономическими и естественнонаучными специальностями [3]. Данные из РИНЦ подтверждают это: лучшими показателями публикационной активности автора Челябинской академии культуры является 67 публикаций, 232 цитирования и индекс Хирша, равный 7 (</w:t>
      </w:r>
      <w:hyperlink r:id="rId14" w:history="1">
        <w:r w:rsidRPr="00286AD4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http://elibrary.ru/authors.asp</w:t>
        </w:r>
      </w:hyperlink>
      <w:r w:rsidRPr="00286AD4">
        <w:rPr>
          <w:rFonts w:eastAsia="Calibri"/>
          <w:sz w:val="28"/>
          <w:szCs w:val="28"/>
          <w:lang w:eastAsia="en-US"/>
        </w:rPr>
        <w:t>). Аналогичные показатели ведущего ученого в медицинском вузе составляют 256 публикаций, 2244 цитирования и индекс Хирша, равный 18 (</w:t>
      </w:r>
      <w:hyperlink r:id="rId15" w:history="1">
        <w:r w:rsidRPr="00286AD4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http://elibrary.ru/authors.asp</w:t>
        </w:r>
      </w:hyperlink>
      <w:r w:rsidRPr="00286AD4">
        <w:rPr>
          <w:rFonts w:eastAsia="Calibri"/>
          <w:sz w:val="28"/>
          <w:szCs w:val="28"/>
          <w:lang w:eastAsia="en-US"/>
        </w:rPr>
        <w:t xml:space="preserve">). </w:t>
      </w:r>
    </w:p>
    <w:p w:rsidR="00286AD4" w:rsidRPr="00286AD4" w:rsidRDefault="00286AD4" w:rsidP="00B450D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AD4">
        <w:rPr>
          <w:rFonts w:eastAsia="Calibri"/>
          <w:sz w:val="28"/>
          <w:szCs w:val="28"/>
          <w:lang w:eastAsia="en-US"/>
        </w:rPr>
        <w:t xml:space="preserve">Работая некоторое время в системе </w:t>
      </w:r>
      <w:r w:rsidRPr="00286AD4">
        <w:rPr>
          <w:rFonts w:eastAsia="Calibri"/>
          <w:sz w:val="28"/>
          <w:szCs w:val="28"/>
          <w:lang w:val="en-US" w:eastAsia="en-US"/>
        </w:rPr>
        <w:t>Sciense</w:t>
      </w:r>
      <w:r w:rsidRPr="00286AD4">
        <w:rPr>
          <w:rFonts w:eastAsia="Calibri"/>
          <w:sz w:val="28"/>
          <w:szCs w:val="28"/>
          <w:lang w:eastAsia="en-US"/>
        </w:rPr>
        <w:t xml:space="preserve"> </w:t>
      </w:r>
      <w:r w:rsidRPr="00286AD4">
        <w:rPr>
          <w:rFonts w:eastAsia="Calibri"/>
          <w:sz w:val="28"/>
          <w:szCs w:val="28"/>
          <w:lang w:val="en-US" w:eastAsia="en-US"/>
        </w:rPr>
        <w:t>Index</w:t>
      </w:r>
      <w:r w:rsidRPr="00286AD4">
        <w:rPr>
          <w:rFonts w:eastAsia="Calibri"/>
          <w:sz w:val="28"/>
          <w:szCs w:val="28"/>
          <w:lang w:eastAsia="en-US"/>
        </w:rPr>
        <w:t xml:space="preserve">, мы увидели разницу и в публикационной активности преподавателей общегуманитарных и творческих специальностей внутри академии. Если лучший  показатель индекса Хирша в дисциплинах общегуманитарного цикла равен семи и шести, то все творческие специальности в вузе имеют показатель «единицу». Эти показатели вполне объективны, ведь главным итогом научной и творческой деятельности преподавателя академии культуры могут являться не публикация в журналах и сборниках, а постановка спектакля, запись концерта, написание сценария и проведение прочих мероприятий, тесно связанных со сферой их профессиональных интересов, и которые мы принимаем за научную работу.  «Цитируемость и публикуемость позволяют в определенной мере оценивать результативность деятельности ученого: они являются одной из компонент оценки его научной работы, но не могут быть единственными показателями. Так как лишь высококвалифицированные эксперты в соответствующей отрасли наук могут оценить эффективность научной деятельности после изучения конкретных работ за определенный период»[1, с. 41]. </w:t>
      </w:r>
    </w:p>
    <w:p w:rsidR="00286AD4" w:rsidRPr="00286AD4" w:rsidRDefault="00286AD4" w:rsidP="00B450D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6AD4">
        <w:rPr>
          <w:rFonts w:eastAsia="Calibri"/>
          <w:sz w:val="28"/>
          <w:szCs w:val="28"/>
          <w:lang w:eastAsia="en-US"/>
        </w:rPr>
        <w:t xml:space="preserve">Сотрудники НБ ЧГАКИ проводили сравнительный анализ публикационной активности ведущих вузов культуры и искусств. По </w:t>
      </w:r>
      <w:r w:rsidRPr="00286AD4">
        <w:rPr>
          <w:rFonts w:eastAsia="Calibri"/>
          <w:sz w:val="28"/>
          <w:szCs w:val="28"/>
          <w:lang w:eastAsia="en-US"/>
        </w:rPr>
        <w:lastRenderedPageBreak/>
        <w:t>полученным в сентябре 2015 года данным (</w:t>
      </w:r>
      <w:hyperlink r:id="rId16" w:history="1">
        <w:r w:rsidRPr="00286AD4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http://elibrary.ru/</w:t>
        </w:r>
      </w:hyperlink>
      <w:r w:rsidRPr="00286AD4">
        <w:rPr>
          <w:rFonts w:eastAsia="Calibri"/>
          <w:sz w:val="28"/>
          <w:szCs w:val="28"/>
          <w:lang w:eastAsia="en-US"/>
        </w:rPr>
        <w:t xml:space="preserve">) первое место по количеству публикаций занимают Московский, Санкт-Петербургский и Казанский вузы. Челябинская академия культуры и искусств уверенно занимает четвертую строку в таблице, в которой представлено 16 вузов культуры и искусств.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4307"/>
        <w:gridCol w:w="1701"/>
        <w:gridCol w:w="1524"/>
      </w:tblGrid>
      <w:tr w:rsidR="00286AD4" w:rsidRPr="00286AD4" w:rsidTr="00286AD4">
        <w:tc>
          <w:tcPr>
            <w:tcW w:w="1471" w:type="dxa"/>
          </w:tcPr>
          <w:p w:rsid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7" w:type="dxa"/>
          </w:tcPr>
          <w:p w:rsid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 xml:space="preserve">Наименование вуза </w:t>
            </w:r>
          </w:p>
        </w:tc>
        <w:tc>
          <w:tcPr>
            <w:tcW w:w="1701" w:type="dxa"/>
          </w:tcPr>
          <w:p w:rsid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86AD4" w:rsidRDefault="00B450D9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86AD4" w:rsidRPr="00286AD4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="00286AD4" w:rsidRPr="00286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публикаций</w:t>
            </w:r>
          </w:p>
        </w:tc>
        <w:tc>
          <w:tcPr>
            <w:tcW w:w="1524" w:type="dxa"/>
          </w:tcPr>
          <w:p w:rsid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86AD4" w:rsidRPr="00286AD4" w:rsidRDefault="00B450D9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h-index</w:t>
            </w:r>
          </w:p>
        </w:tc>
      </w:tr>
      <w:tr w:rsidR="00286AD4" w:rsidRPr="00286AD4" w:rsidTr="00286AD4">
        <w:tc>
          <w:tcPr>
            <w:tcW w:w="1471" w:type="dxa"/>
          </w:tcPr>
          <w:p w:rsidR="00286AD4" w:rsidRPr="00286AD4" w:rsidRDefault="00286AD4" w:rsidP="00286AD4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7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Московский государственный институт культуры и искусств</w:t>
            </w:r>
          </w:p>
        </w:tc>
        <w:tc>
          <w:tcPr>
            <w:tcW w:w="170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3852</w:t>
            </w:r>
          </w:p>
        </w:tc>
        <w:tc>
          <w:tcPr>
            <w:tcW w:w="1524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86AD4" w:rsidRPr="00286AD4" w:rsidTr="00286AD4">
        <w:tc>
          <w:tcPr>
            <w:tcW w:w="1471" w:type="dxa"/>
          </w:tcPr>
          <w:p w:rsidR="00286AD4" w:rsidRPr="00286AD4" w:rsidRDefault="00286AD4" w:rsidP="00286AD4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7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Санкт-Петербургский государственный институт культуры и искусств</w:t>
            </w:r>
          </w:p>
        </w:tc>
        <w:tc>
          <w:tcPr>
            <w:tcW w:w="170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2311</w:t>
            </w:r>
          </w:p>
        </w:tc>
        <w:tc>
          <w:tcPr>
            <w:tcW w:w="1524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86AD4" w:rsidRPr="00286AD4" w:rsidTr="00286AD4">
        <w:tc>
          <w:tcPr>
            <w:tcW w:w="1471" w:type="dxa"/>
          </w:tcPr>
          <w:p w:rsidR="00286AD4" w:rsidRPr="00286AD4" w:rsidRDefault="00286AD4" w:rsidP="00286AD4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7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Казанский государственный университет культуры и искусств</w:t>
            </w:r>
          </w:p>
        </w:tc>
        <w:tc>
          <w:tcPr>
            <w:tcW w:w="170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1751</w:t>
            </w:r>
          </w:p>
        </w:tc>
        <w:tc>
          <w:tcPr>
            <w:tcW w:w="1524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86AD4" w:rsidRPr="00286AD4" w:rsidTr="00286AD4">
        <w:tc>
          <w:tcPr>
            <w:tcW w:w="1471" w:type="dxa"/>
          </w:tcPr>
          <w:p w:rsidR="00286AD4" w:rsidRPr="00286AD4" w:rsidRDefault="00286AD4" w:rsidP="00286AD4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7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Челябинская государственная академия культуры и искусств</w:t>
            </w:r>
          </w:p>
        </w:tc>
        <w:tc>
          <w:tcPr>
            <w:tcW w:w="170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1563</w:t>
            </w:r>
          </w:p>
        </w:tc>
        <w:tc>
          <w:tcPr>
            <w:tcW w:w="1524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86AD4" w:rsidRPr="00286AD4" w:rsidTr="00286AD4">
        <w:tc>
          <w:tcPr>
            <w:tcW w:w="147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4307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AD4" w:rsidRPr="00286AD4" w:rsidTr="00286AD4">
        <w:tc>
          <w:tcPr>
            <w:tcW w:w="147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307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AD4" w:rsidRPr="00286AD4" w:rsidTr="00286AD4">
        <w:tc>
          <w:tcPr>
            <w:tcW w:w="147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 xml:space="preserve">    15</w:t>
            </w:r>
          </w:p>
        </w:tc>
        <w:tc>
          <w:tcPr>
            <w:tcW w:w="4307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Волгоградский государственный институт искусств и культуры</w:t>
            </w:r>
          </w:p>
        </w:tc>
        <w:tc>
          <w:tcPr>
            <w:tcW w:w="170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24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86AD4" w:rsidRPr="00286AD4" w:rsidTr="00286AD4">
        <w:tc>
          <w:tcPr>
            <w:tcW w:w="147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 xml:space="preserve">  16.</w:t>
            </w:r>
          </w:p>
        </w:tc>
        <w:tc>
          <w:tcPr>
            <w:tcW w:w="4307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Крымский университет культуры, искусств и туризма</w:t>
            </w:r>
          </w:p>
        </w:tc>
        <w:tc>
          <w:tcPr>
            <w:tcW w:w="1701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24" w:type="dxa"/>
          </w:tcPr>
          <w:p w:rsidR="00286AD4" w:rsidRPr="00286AD4" w:rsidRDefault="00286AD4" w:rsidP="00286AD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A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86AD4" w:rsidRPr="00286AD4" w:rsidRDefault="00286AD4" w:rsidP="00286AD4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F01A3" w:rsidRPr="00580367" w:rsidRDefault="00F90F93" w:rsidP="00580367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580367">
        <w:rPr>
          <w:b/>
          <w:caps/>
          <w:color w:val="C00000"/>
        </w:rPr>
        <w:t>Выводы и заключение</w:t>
      </w:r>
    </w:p>
    <w:p w:rsidR="00580367" w:rsidRPr="00580367" w:rsidRDefault="00580367" w:rsidP="00580367">
      <w:pPr>
        <w:pStyle w:val="ab"/>
        <w:ind w:left="1080"/>
        <w:jc w:val="center"/>
        <w:rPr>
          <w:b/>
          <w:caps/>
          <w:color w:val="C00000"/>
        </w:rPr>
      </w:pPr>
    </w:p>
    <w:p w:rsidR="00286AD4" w:rsidRDefault="00286AD4" w:rsidP="00B450D9">
      <w:pPr>
        <w:ind w:firstLine="284"/>
        <w:contextualSpacing/>
        <w:jc w:val="both"/>
        <w:rPr>
          <w:color w:val="000000"/>
        </w:rPr>
      </w:pPr>
      <w:r w:rsidRPr="00286AD4">
        <w:rPr>
          <w:color w:val="000000"/>
        </w:rPr>
        <w:t>По истечении почти года после начала работы в информационно-аналитической системе Science Index можно сделать ряд выводов</w:t>
      </w:r>
      <w:r w:rsidR="00B450D9">
        <w:rPr>
          <w:color w:val="000000"/>
        </w:rPr>
        <w:t>:</w:t>
      </w:r>
      <w:r w:rsidRPr="00286AD4">
        <w:rPr>
          <w:color w:val="000000"/>
        </w:rPr>
        <w:t xml:space="preserve"> </w:t>
      </w:r>
    </w:p>
    <w:p w:rsidR="00286AD4" w:rsidRPr="00B450D9" w:rsidRDefault="00B450D9" w:rsidP="00B450D9">
      <w:pPr>
        <w:ind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– </w:t>
      </w:r>
      <w:r w:rsidR="00286AD4" w:rsidRPr="00286AD4">
        <w:rPr>
          <w:color w:val="000000"/>
        </w:rPr>
        <w:t xml:space="preserve">заключение договора с РИНЦ на предоставлении новой сервисной услуги </w:t>
      </w:r>
      <w:r>
        <w:rPr>
          <w:color w:val="000000"/>
        </w:rPr>
        <w:t>библиотеки было своевременным</w:t>
      </w:r>
      <w:r w:rsidRPr="00B450D9">
        <w:rPr>
          <w:color w:val="000000"/>
        </w:rPr>
        <w:t>;</w:t>
      </w:r>
    </w:p>
    <w:p w:rsidR="00286AD4" w:rsidRPr="00B450D9" w:rsidRDefault="00286AD4" w:rsidP="00B450D9">
      <w:pPr>
        <w:pStyle w:val="ab"/>
        <w:numPr>
          <w:ilvl w:val="0"/>
          <w:numId w:val="10"/>
        </w:numPr>
        <w:ind w:left="0" w:firstLine="284"/>
        <w:jc w:val="both"/>
        <w:rPr>
          <w:color w:val="000000"/>
        </w:rPr>
      </w:pPr>
      <w:r w:rsidRPr="00B450D9">
        <w:rPr>
          <w:color w:val="000000"/>
        </w:rPr>
        <w:t>благодаря качественной работе специалистов библиотеки изменились в сторону увеличения библиометрические показатели ученых</w:t>
      </w:r>
      <w:r w:rsidR="00B450D9">
        <w:rPr>
          <w:color w:val="000000"/>
        </w:rPr>
        <w:t xml:space="preserve"> академии и вуза соответственно</w:t>
      </w:r>
      <w:r w:rsidR="00B450D9" w:rsidRPr="00B450D9">
        <w:rPr>
          <w:color w:val="000000"/>
        </w:rPr>
        <w:t>;</w:t>
      </w:r>
    </w:p>
    <w:p w:rsidR="00B450D9" w:rsidRPr="00B450D9" w:rsidRDefault="00286AD4" w:rsidP="00B450D9">
      <w:pPr>
        <w:pStyle w:val="ab"/>
        <w:numPr>
          <w:ilvl w:val="0"/>
          <w:numId w:val="10"/>
        </w:numPr>
        <w:ind w:left="0" w:firstLine="284"/>
        <w:jc w:val="both"/>
        <w:rPr>
          <w:color w:val="000000"/>
        </w:rPr>
      </w:pPr>
      <w:r w:rsidRPr="00B450D9">
        <w:rPr>
          <w:color w:val="000000"/>
        </w:rPr>
        <w:t xml:space="preserve">данные по публикационной активности преподавателей в большинстве своем доступны широкому кругу пользователей и могут быть использованы для мониторингов, проводимых Министерством образования и науки. </w:t>
      </w:r>
    </w:p>
    <w:p w:rsidR="00286AD4" w:rsidRPr="00B450D9" w:rsidRDefault="00B450D9" w:rsidP="00B450D9">
      <w:pPr>
        <w:pStyle w:val="ab"/>
        <w:numPr>
          <w:ilvl w:val="0"/>
          <w:numId w:val="10"/>
        </w:numPr>
        <w:ind w:left="0" w:firstLine="284"/>
        <w:jc w:val="both"/>
        <w:rPr>
          <w:color w:val="000000"/>
        </w:rPr>
      </w:pPr>
      <w:r>
        <w:rPr>
          <w:color w:val="000000"/>
        </w:rPr>
        <w:t>е</w:t>
      </w:r>
      <w:r w:rsidR="00286AD4" w:rsidRPr="00B450D9">
        <w:rPr>
          <w:color w:val="000000"/>
        </w:rPr>
        <w:t xml:space="preserve">ще одним важным фактом можно считать укрепление имиджа библиотеки. </w:t>
      </w:r>
      <w:r w:rsidRPr="00B450D9">
        <w:rPr>
          <w:color w:val="000000"/>
        </w:rPr>
        <w:t xml:space="preserve"> </w:t>
      </w:r>
    </w:p>
    <w:p w:rsidR="007C26E3" w:rsidRPr="008222EA" w:rsidRDefault="00286AD4" w:rsidP="00264B0E">
      <w:pPr>
        <w:ind w:firstLine="284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</w:rPr>
        <w:t>С</w:t>
      </w:r>
      <w:r w:rsidRPr="00286AD4">
        <w:rPr>
          <w:color w:val="000000"/>
        </w:rPr>
        <w:t>ледует помнить, что инициативы одной только библиотеки по использованию новых сервисов для авторов и организации недостаточно. Библиотеке вуза в одиночку не справиться с возрастающим объемом работ без поддержки всех заинтересованных представителей подразделений академии, заведующих кафедрами и высокой активности самих преподавателей.</w:t>
      </w:r>
    </w:p>
    <w:p w:rsidR="00B450D9" w:rsidRDefault="00B450D9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</w:p>
    <w:p w:rsidR="00BE0066" w:rsidRDefault="00F90F93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  <w:r w:rsidRPr="008222EA">
        <w:rPr>
          <w:b/>
          <w:caps/>
          <w:color w:val="C00000"/>
          <w:sz w:val="20"/>
          <w:szCs w:val="20"/>
        </w:rPr>
        <w:t>С</w:t>
      </w:r>
      <w:r w:rsidR="0039744E" w:rsidRPr="008222EA">
        <w:rPr>
          <w:b/>
          <w:caps/>
          <w:color w:val="C00000"/>
          <w:sz w:val="20"/>
          <w:szCs w:val="20"/>
        </w:rPr>
        <w:t>СЫЛКИ</w:t>
      </w:r>
    </w:p>
    <w:p w:rsidR="00942A37" w:rsidRPr="008222EA" w:rsidRDefault="00942A37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</w:p>
    <w:p w:rsidR="00286AD4" w:rsidRPr="00286AD4" w:rsidRDefault="00286AD4" w:rsidP="00286AD4">
      <w:pPr>
        <w:numPr>
          <w:ilvl w:val="0"/>
          <w:numId w:val="8"/>
        </w:numPr>
        <w:ind w:left="0" w:firstLine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286AD4">
        <w:rPr>
          <w:rFonts w:eastAsia="Calibri"/>
          <w:sz w:val="20"/>
          <w:szCs w:val="20"/>
          <w:lang w:eastAsia="en-US"/>
        </w:rPr>
        <w:lastRenderedPageBreak/>
        <w:t xml:space="preserve">Арутюнов, В. В. Особенности рейтинга цитируемости российских ученых по версии РИНЦ /В. В. Арутюнов //НТБ. – 2015. – № 5. –  С. 28 – 41. </w:t>
      </w:r>
    </w:p>
    <w:p w:rsidR="00286AD4" w:rsidRPr="00286AD4" w:rsidRDefault="00286AD4" w:rsidP="00286AD4">
      <w:pPr>
        <w:numPr>
          <w:ilvl w:val="0"/>
          <w:numId w:val="8"/>
        </w:numPr>
        <w:shd w:val="clear" w:color="auto" w:fill="FFFFFF"/>
        <w:ind w:left="0" w:firstLine="425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86AD4">
        <w:rPr>
          <w:rFonts w:eastAsia="Calibri"/>
          <w:sz w:val="20"/>
          <w:szCs w:val="20"/>
          <w:lang w:eastAsia="en-US"/>
        </w:rPr>
        <w:t xml:space="preserve">Берестова, Т. Ф. Науки документально-коммуникационного цикла на обочине РИНЦ /Т. Ф. Берестова, В. А. Макарычева //Библиография. – 2013. – № 2. – С. 26 – 34). [29, 33]. </w:t>
      </w:r>
    </w:p>
    <w:p w:rsidR="00286AD4" w:rsidRPr="00286AD4" w:rsidRDefault="00286AD4" w:rsidP="00286AD4">
      <w:pPr>
        <w:numPr>
          <w:ilvl w:val="0"/>
          <w:numId w:val="8"/>
        </w:numPr>
        <w:shd w:val="clear" w:color="auto" w:fill="FFFFFF"/>
        <w:ind w:left="0" w:firstLine="42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86AD4">
        <w:rPr>
          <w:rFonts w:eastAsia="Calibri"/>
          <w:sz w:val="20"/>
          <w:szCs w:val="20"/>
          <w:lang w:eastAsia="en-US"/>
        </w:rPr>
        <w:t xml:space="preserve">Василенко, Е. А. </w:t>
      </w:r>
      <w:r w:rsidRPr="00286AD4">
        <w:rPr>
          <w:rFonts w:eastAsia="Calibri"/>
          <w:color w:val="000000"/>
          <w:sz w:val="20"/>
          <w:szCs w:val="20"/>
          <w:lang w:eastAsia="en-US"/>
        </w:rPr>
        <w:t xml:space="preserve">Cравнительный анализ популярности и востребованности в русскоязычных научных кругах ведущих экономических изданий России / Е. А. Василенко //Менеджмент в России и зарубежом. – 2014. – № 5. – Режим доступа: </w:t>
      </w:r>
      <w:hyperlink r:id="rId17" w:history="1">
        <w:r w:rsidRPr="00286AD4">
          <w:rPr>
            <w:rFonts w:eastAsia="Calibri"/>
            <w:color w:val="0000FF"/>
            <w:sz w:val="20"/>
            <w:szCs w:val="20"/>
            <w:u w:val="single"/>
            <w:lang w:eastAsia="en-US"/>
          </w:rPr>
          <w:t>http://www.mevriz.ru/articles/2014/5/5727.html</w:t>
        </w:r>
      </w:hyperlink>
      <w:r w:rsidRPr="00286AD4">
        <w:rPr>
          <w:rFonts w:eastAsia="Calibri"/>
          <w:color w:val="000000"/>
          <w:sz w:val="20"/>
          <w:szCs w:val="20"/>
          <w:lang w:eastAsia="en-US"/>
        </w:rPr>
        <w:t>. Дата просмотра: 08.09.2015.</w:t>
      </w:r>
    </w:p>
    <w:p w:rsidR="00286AD4" w:rsidRPr="00286AD4" w:rsidRDefault="00286AD4" w:rsidP="00286AD4">
      <w:pPr>
        <w:numPr>
          <w:ilvl w:val="0"/>
          <w:numId w:val="8"/>
        </w:numPr>
        <w:shd w:val="clear" w:color="auto" w:fill="FFFFFF"/>
        <w:ind w:left="0" w:firstLine="425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86AD4">
        <w:rPr>
          <w:rFonts w:eastAsia="Calibri"/>
          <w:sz w:val="20"/>
          <w:szCs w:val="20"/>
          <w:lang w:eastAsia="en-US"/>
        </w:rPr>
        <w:t xml:space="preserve"> Штолер, А. В. Научно-исследовательская работа профессорско-преподавательского состава академии: достижения, проблемы, перспективы (по итогам 2014 г.): материалы </w:t>
      </w:r>
      <w:r w:rsidRPr="00286AD4">
        <w:rPr>
          <w:rFonts w:eastAsia="Calibri"/>
          <w:sz w:val="20"/>
          <w:szCs w:val="20"/>
          <w:lang w:val="en-US" w:eastAsia="en-US"/>
        </w:rPr>
        <w:t>XXXVI</w:t>
      </w:r>
      <w:r w:rsidRPr="00286AD4">
        <w:rPr>
          <w:rFonts w:eastAsia="Calibri"/>
          <w:sz w:val="20"/>
          <w:szCs w:val="20"/>
          <w:lang w:eastAsia="en-US"/>
        </w:rPr>
        <w:t xml:space="preserve"> науч.-практ. конф. проф.-препод</w:t>
      </w:r>
      <w:r w:rsidR="00B450D9">
        <w:rPr>
          <w:rFonts w:eastAsia="Calibri"/>
          <w:sz w:val="20"/>
          <w:szCs w:val="20"/>
          <w:lang w:eastAsia="en-US"/>
        </w:rPr>
        <w:t>.</w:t>
      </w:r>
      <w:r w:rsidRPr="00286AD4">
        <w:rPr>
          <w:rFonts w:eastAsia="Calibri"/>
          <w:sz w:val="20"/>
          <w:szCs w:val="20"/>
          <w:lang w:eastAsia="en-US"/>
        </w:rPr>
        <w:t xml:space="preserve"> состава акад. «Культура – искусство – образование: научные и прикладные аспекты» /А. В. Штолер; Челяб. гос. акад. культуры и искусств. – Челябинск, 2015. – 80 с.</w:t>
      </w:r>
    </w:p>
    <w:p w:rsidR="00264B0E" w:rsidRPr="00286AD4" w:rsidRDefault="00264B0E" w:rsidP="00264B0E">
      <w:pPr>
        <w:ind w:left="284"/>
        <w:contextualSpacing/>
        <w:jc w:val="both"/>
        <w:rPr>
          <w:color w:val="000000"/>
          <w:sz w:val="20"/>
          <w:szCs w:val="20"/>
        </w:rPr>
      </w:pPr>
    </w:p>
    <w:p w:rsidR="0039744E" w:rsidRDefault="00264B0E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СВЕДЕНИЯ ОБ АВТОРЕ</w:t>
      </w:r>
    </w:p>
    <w:p w:rsidR="00264B0E" w:rsidRPr="00947F58" w:rsidRDefault="00264B0E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</w:p>
    <w:p w:rsidR="00947F58" w:rsidRPr="00954944" w:rsidRDefault="00D749EF" w:rsidP="00264B0E">
      <w:pPr>
        <w:ind w:firstLine="284"/>
        <w:contextualSpacing/>
        <w:jc w:val="both"/>
        <w:rPr>
          <w:color w:val="000000"/>
          <w:sz w:val="20"/>
          <w:szCs w:val="20"/>
        </w:rPr>
      </w:pPr>
      <w:r w:rsidRPr="00947F58">
        <w:rPr>
          <w:color w:val="000000"/>
          <w:sz w:val="20"/>
          <w:szCs w:val="20"/>
        </w:rPr>
        <w:t xml:space="preserve">В конце доклада </w:t>
      </w:r>
      <w:r w:rsidR="00D160CC" w:rsidRPr="00947F58">
        <w:rPr>
          <w:color w:val="000000"/>
          <w:sz w:val="20"/>
          <w:szCs w:val="20"/>
        </w:rPr>
        <w:t xml:space="preserve">может быть </w:t>
      </w:r>
      <w:r w:rsidRPr="00947F58">
        <w:rPr>
          <w:color w:val="000000"/>
          <w:sz w:val="20"/>
          <w:szCs w:val="20"/>
        </w:rPr>
        <w:t>опубликована краткая профессиональная биография</w:t>
      </w:r>
      <w:r w:rsidR="003D230B" w:rsidRPr="00947F58">
        <w:rPr>
          <w:color w:val="000000"/>
          <w:sz w:val="20"/>
          <w:szCs w:val="20"/>
        </w:rPr>
        <w:t xml:space="preserve">, научные интересы, звание. </w:t>
      </w:r>
      <w:r w:rsidRPr="00947F58">
        <w:rPr>
          <w:color w:val="000000"/>
          <w:sz w:val="20"/>
          <w:szCs w:val="20"/>
        </w:rPr>
        <w:t xml:space="preserve">Если статья имеет несколько авторов, то создается таблица, в которую включаются все авторы. Шрифт биографии </w:t>
      </w:r>
      <w:r w:rsidR="00C7588B" w:rsidRPr="00947F58">
        <w:rPr>
          <w:color w:val="000000"/>
          <w:sz w:val="20"/>
          <w:szCs w:val="20"/>
        </w:rPr>
        <w:t xml:space="preserve">– </w:t>
      </w:r>
      <w:r w:rsidRPr="00947F58">
        <w:rPr>
          <w:color w:val="000000"/>
          <w:sz w:val="20"/>
          <w:szCs w:val="20"/>
          <w:lang w:val="en-US"/>
        </w:rPr>
        <w:t>Times</w:t>
      </w:r>
      <w:r w:rsidRPr="00947F58">
        <w:rPr>
          <w:color w:val="000000"/>
          <w:sz w:val="20"/>
          <w:szCs w:val="20"/>
        </w:rPr>
        <w:t xml:space="preserve"> </w:t>
      </w:r>
      <w:r w:rsidRPr="00947F58">
        <w:rPr>
          <w:color w:val="000000"/>
          <w:sz w:val="20"/>
          <w:szCs w:val="20"/>
          <w:lang w:val="en-US"/>
        </w:rPr>
        <w:t>New</w:t>
      </w:r>
      <w:r w:rsidRPr="00947F58">
        <w:rPr>
          <w:color w:val="000000"/>
          <w:sz w:val="20"/>
          <w:szCs w:val="20"/>
        </w:rPr>
        <w:t xml:space="preserve"> </w:t>
      </w:r>
      <w:r w:rsidRPr="00947F58">
        <w:rPr>
          <w:color w:val="000000"/>
          <w:sz w:val="20"/>
          <w:szCs w:val="20"/>
          <w:lang w:val="en-US"/>
        </w:rPr>
        <w:t>Roman</w:t>
      </w:r>
      <w:r w:rsidRPr="00947F58">
        <w:rPr>
          <w:color w:val="000000"/>
          <w:sz w:val="20"/>
          <w:szCs w:val="20"/>
        </w:rPr>
        <w:t xml:space="preserve"> </w:t>
      </w:r>
      <w:r w:rsidR="00947F58">
        <w:rPr>
          <w:color w:val="000000"/>
          <w:sz w:val="20"/>
          <w:szCs w:val="20"/>
        </w:rPr>
        <w:t>10</w:t>
      </w:r>
      <w:r w:rsidR="00C7588B" w:rsidRPr="00947F58">
        <w:rPr>
          <w:color w:val="000000"/>
          <w:sz w:val="20"/>
          <w:szCs w:val="20"/>
        </w:rPr>
        <w:t xml:space="preserve"> пунктов</w:t>
      </w:r>
      <w:r w:rsidR="00947F58">
        <w:rPr>
          <w:color w:val="000000"/>
          <w:sz w:val="20"/>
          <w:szCs w:val="20"/>
        </w:rPr>
        <w:t>.</w:t>
      </w:r>
      <w:r w:rsidR="00954944" w:rsidRPr="00954944">
        <w:rPr>
          <w:color w:val="000000"/>
          <w:sz w:val="20"/>
          <w:szCs w:val="20"/>
        </w:rPr>
        <w:t xml:space="preserve"> </w:t>
      </w:r>
    </w:p>
    <w:p w:rsidR="00D749EF" w:rsidRPr="00947F58" w:rsidRDefault="0039744E" w:rsidP="00264B0E">
      <w:pPr>
        <w:ind w:firstLine="284"/>
        <w:contextualSpacing/>
        <w:jc w:val="both"/>
        <w:rPr>
          <w:color w:val="000000"/>
          <w:sz w:val="20"/>
          <w:szCs w:val="20"/>
        </w:rPr>
      </w:pPr>
      <w:r w:rsidRPr="00947F58">
        <w:rPr>
          <w:color w:val="000000"/>
          <w:sz w:val="20"/>
          <w:szCs w:val="20"/>
        </w:rPr>
        <w:t xml:space="preserve">Содержание информации: </w:t>
      </w:r>
      <w:r w:rsidR="00947F58">
        <w:rPr>
          <w:color w:val="000000"/>
          <w:sz w:val="20"/>
          <w:szCs w:val="20"/>
        </w:rPr>
        <w:t xml:space="preserve">научная биография, </w:t>
      </w:r>
      <w:r w:rsidRPr="00947F58">
        <w:rPr>
          <w:color w:val="000000"/>
          <w:sz w:val="20"/>
          <w:szCs w:val="20"/>
        </w:rPr>
        <w:t>научные интересы, коды авторов (</w:t>
      </w:r>
      <w:r w:rsidRPr="00947F58">
        <w:rPr>
          <w:color w:val="000000"/>
          <w:sz w:val="20"/>
          <w:szCs w:val="20"/>
          <w:lang w:val="en-US"/>
        </w:rPr>
        <w:t>Spin</w:t>
      </w:r>
      <w:r w:rsidRPr="00947F58">
        <w:rPr>
          <w:color w:val="000000"/>
          <w:sz w:val="20"/>
          <w:szCs w:val="20"/>
        </w:rPr>
        <w:t xml:space="preserve">-код, </w:t>
      </w:r>
      <w:r w:rsidRPr="00947F58">
        <w:rPr>
          <w:color w:val="000000"/>
          <w:sz w:val="20"/>
          <w:szCs w:val="20"/>
          <w:lang w:val="en-US"/>
        </w:rPr>
        <w:t>ResearchID</w:t>
      </w:r>
      <w:r w:rsidRPr="00947F58">
        <w:rPr>
          <w:color w:val="000000"/>
          <w:sz w:val="20"/>
          <w:szCs w:val="20"/>
        </w:rPr>
        <w:t xml:space="preserve">, </w:t>
      </w:r>
      <w:r w:rsidR="003D230B" w:rsidRPr="00947F58">
        <w:rPr>
          <w:color w:val="000000"/>
          <w:sz w:val="20"/>
          <w:szCs w:val="20"/>
          <w:lang w:val="en-US"/>
        </w:rPr>
        <w:t>ORCID</w:t>
      </w:r>
      <w:r w:rsidRPr="00947F58">
        <w:rPr>
          <w:color w:val="000000"/>
          <w:sz w:val="20"/>
          <w:szCs w:val="20"/>
        </w:rPr>
        <w:t xml:space="preserve">, </w:t>
      </w:r>
      <w:r w:rsidRPr="00947F58">
        <w:rPr>
          <w:color w:val="000000"/>
          <w:sz w:val="20"/>
          <w:szCs w:val="20"/>
          <w:lang w:val="en-US"/>
        </w:rPr>
        <w:t>Author</w:t>
      </w:r>
      <w:r w:rsidRPr="00947F58">
        <w:rPr>
          <w:color w:val="000000"/>
          <w:sz w:val="20"/>
          <w:szCs w:val="20"/>
        </w:rPr>
        <w:t xml:space="preserve"> </w:t>
      </w:r>
      <w:r w:rsidRPr="00947F58">
        <w:rPr>
          <w:color w:val="000000"/>
          <w:sz w:val="20"/>
          <w:szCs w:val="20"/>
          <w:lang w:val="en-US"/>
        </w:rPr>
        <w:t>Scopus</w:t>
      </w:r>
      <w:r w:rsidRPr="00947F58">
        <w:rPr>
          <w:color w:val="000000"/>
          <w:sz w:val="20"/>
          <w:szCs w:val="20"/>
        </w:rPr>
        <w:t xml:space="preserve">). </w:t>
      </w:r>
      <w:r w:rsidR="003D230B" w:rsidRPr="00947F58">
        <w:rPr>
          <w:color w:val="000000"/>
          <w:sz w:val="20"/>
          <w:szCs w:val="20"/>
        </w:rPr>
        <w:t xml:space="preserve">Личный сайт. </w:t>
      </w:r>
      <w:r w:rsidRPr="00947F58">
        <w:rPr>
          <w:color w:val="000000"/>
          <w:sz w:val="20"/>
          <w:szCs w:val="20"/>
          <w:lang w:val="en-US"/>
        </w:rPr>
        <w:t>E</w:t>
      </w:r>
      <w:r w:rsidR="003D230B" w:rsidRPr="00947F58">
        <w:rPr>
          <w:color w:val="000000"/>
          <w:sz w:val="20"/>
          <w:szCs w:val="20"/>
        </w:rPr>
        <w:t>-</w:t>
      </w:r>
      <w:r w:rsidRPr="00947F58">
        <w:rPr>
          <w:color w:val="000000"/>
          <w:sz w:val="20"/>
          <w:szCs w:val="20"/>
          <w:lang w:val="en-US"/>
        </w:rPr>
        <w:t>mail</w:t>
      </w:r>
      <w:r w:rsidRPr="00947F58">
        <w:rPr>
          <w:color w:val="000000"/>
          <w:sz w:val="20"/>
          <w:szCs w:val="20"/>
        </w:rPr>
        <w:t>.</w:t>
      </w:r>
    </w:p>
    <w:p w:rsidR="00800771" w:rsidRPr="008222EA" w:rsidRDefault="00800771" w:rsidP="00264B0E">
      <w:pPr>
        <w:ind w:firstLine="284"/>
        <w:contextualSpacing/>
        <w:jc w:val="both"/>
        <w:rPr>
          <w:sz w:val="16"/>
          <w:szCs w:val="16"/>
        </w:rPr>
      </w:pPr>
    </w:p>
    <w:sectPr w:rsidR="00800771" w:rsidRPr="008222EA" w:rsidSect="00AF0700">
      <w:type w:val="continuous"/>
      <w:pgSz w:w="11906" w:h="16838" w:code="9"/>
      <w:pgMar w:top="1701" w:right="1418" w:bottom="1418" w:left="1701" w:header="709" w:footer="3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EF" w:rsidRDefault="00EA28EF" w:rsidP="00740F68">
      <w:r>
        <w:separator/>
      </w:r>
    </w:p>
  </w:endnote>
  <w:endnote w:type="continuationSeparator" w:id="0">
    <w:p w:rsidR="00EA28EF" w:rsidRDefault="00EA28EF" w:rsidP="0074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68" w:rsidRPr="00192E9E" w:rsidRDefault="00740F68" w:rsidP="00740F68">
    <w:pPr>
      <w:pStyle w:val="a7"/>
      <w:rPr>
        <w:i/>
        <w:color w:val="C00000"/>
        <w:lang w:val="en-US"/>
      </w:rPr>
    </w:pPr>
    <w:r w:rsidRPr="00740F68">
      <w:rPr>
        <w:b/>
        <w:i/>
        <w:color w:val="D20000"/>
        <w:sz w:val="18"/>
        <w:szCs w:val="18"/>
        <w:lang w:val="en-US"/>
      </w:rPr>
      <w:t xml:space="preserve">   </w:t>
    </w:r>
    <w:r w:rsidR="00580367">
      <w:rPr>
        <w:noProof/>
        <w:color w:val="A40000"/>
        <w:sz w:val="16"/>
        <w:szCs w:val="16"/>
      </w:rPr>
      <w:drawing>
        <wp:inline distT="0" distB="0" distL="0" distR="0" wp14:anchorId="04DE493F" wp14:editId="5EACA949">
          <wp:extent cx="1485483" cy="665018"/>
          <wp:effectExtent l="0" t="0" r="635" b="1905"/>
          <wp:docPr id="3" name="Рисунок 3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284" cy="66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0F68">
      <w:rPr>
        <w:b/>
        <w:i/>
        <w:color w:val="D20000"/>
        <w:sz w:val="18"/>
        <w:szCs w:val="18"/>
        <w:lang w:val="en-US"/>
      </w:rPr>
      <w:t xml:space="preserve">    </w:t>
    </w:r>
    <w:r w:rsidRPr="00192E9E">
      <w:rPr>
        <w:b/>
        <w:i/>
        <w:color w:val="C00000"/>
        <w:sz w:val="18"/>
        <w:szCs w:val="18"/>
        <w:lang w:val="en-US"/>
      </w:rPr>
      <w:t xml:space="preserve">  Scientific communications-2015, 29 September – 1 O</w:t>
    </w:r>
    <w:r w:rsidR="00337B26">
      <w:rPr>
        <w:b/>
        <w:i/>
        <w:color w:val="C00000"/>
        <w:sz w:val="18"/>
        <w:szCs w:val="18"/>
      </w:rPr>
      <w:t>с</w:t>
    </w:r>
    <w:r w:rsidRPr="00192E9E">
      <w:rPr>
        <w:b/>
        <w:i/>
        <w:color w:val="C00000"/>
        <w:sz w:val="18"/>
        <w:szCs w:val="18"/>
        <w:lang w:val="en-US"/>
      </w:rPr>
      <w:t>tober 2015, Omsk, Russia</w:t>
    </w:r>
  </w:p>
  <w:p w:rsidR="00740F68" w:rsidRPr="00740F68" w:rsidRDefault="00740F68">
    <w:pPr>
      <w:pStyle w:val="a7"/>
      <w:rPr>
        <w:lang w:val="en-US"/>
      </w:rPr>
    </w:pPr>
  </w:p>
  <w:p w:rsidR="00740F68" w:rsidRPr="00740F68" w:rsidRDefault="00740F68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EF" w:rsidRDefault="00EA28EF" w:rsidP="00740F68">
      <w:r>
        <w:separator/>
      </w:r>
    </w:p>
  </w:footnote>
  <w:footnote w:type="continuationSeparator" w:id="0">
    <w:p w:rsidR="00EA28EF" w:rsidRDefault="00EA28EF" w:rsidP="0074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Первая региональная научная конференция “Научные коммуникации. Научная этика. Инженерная этика”</w:t>
    </w:r>
  </w:p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29</w:t>
    </w:r>
    <w:r w:rsidR="00337B26" w:rsidRPr="00BF02E6">
      <w:rPr>
        <w:b/>
        <w:i/>
        <w:color w:val="C00000"/>
        <w:sz w:val="18"/>
        <w:szCs w:val="18"/>
      </w:rPr>
      <w:t xml:space="preserve"> </w:t>
    </w:r>
    <w:r w:rsidR="00337B26">
      <w:rPr>
        <w:b/>
        <w:i/>
        <w:color w:val="C00000"/>
        <w:sz w:val="18"/>
        <w:szCs w:val="18"/>
      </w:rPr>
      <w:t>сентября</w:t>
    </w:r>
    <w:r w:rsidRPr="00192E9E">
      <w:rPr>
        <w:b/>
        <w:i/>
        <w:color w:val="C00000"/>
        <w:sz w:val="18"/>
        <w:szCs w:val="18"/>
      </w:rPr>
      <w:t xml:space="preserve"> – 1 октября 2015 года, Омск, Россия</w:t>
    </w:r>
  </w:p>
  <w:p w:rsidR="00740F68" w:rsidRDefault="00740F68">
    <w:pPr>
      <w:pStyle w:val="a5"/>
    </w:pPr>
  </w:p>
  <w:p w:rsidR="00740F68" w:rsidRDefault="00336B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CA51F7" wp14:editId="3BB74447">
              <wp:simplePos x="0" y="0"/>
              <wp:positionH relativeFrom="page">
                <wp:posOffset>6997065</wp:posOffset>
              </wp:positionH>
              <wp:positionV relativeFrom="page">
                <wp:posOffset>5181600</wp:posOffset>
              </wp:positionV>
              <wp:extent cx="227330" cy="328295"/>
              <wp:effectExtent l="0" t="0" r="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330" cy="3282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C34" w:rsidRPr="00097C34" w:rsidRDefault="00097C34">
                          <w:pPr>
                            <w:jc w:val="center"/>
                            <w:rPr>
                              <w:rFonts w:ascii="Cambria" w:hAnsi="Cambri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97C34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97C34"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097C34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7042" w:rsidRPr="00AC7042">
                            <w:rPr>
                              <w:rFonts w:ascii="Cambria" w:hAnsi="Cambria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Pr="00097C34">
                            <w:rPr>
                              <w:rFonts w:ascii="Cambria" w:hAnsi="Cambria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550.95pt;margin-top:408pt;width:17.9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" o:allowincell="f" fillcolor="#0070c0" stroked="f">
              <v:textbox>
                <w:txbxContent>
                  <w:p w:rsidR="00097C34" w:rsidRPr="00097C34" w:rsidRDefault="00097C34">
                    <w:pPr>
                      <w:jc w:val="center"/>
                      <w:rPr>
                        <w:rFonts w:ascii="Cambria" w:hAnsi="Cambria"/>
                        <w:b/>
                        <w:color w:val="FFFFFF"/>
                        <w:sz w:val="28"/>
                        <w:szCs w:val="28"/>
                      </w:rPr>
                    </w:pPr>
                    <w:r w:rsidRPr="00097C34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97C34">
                      <w:rPr>
                        <w:b/>
                        <w:color w:val="FFFFFF"/>
                        <w:sz w:val="28"/>
                        <w:szCs w:val="28"/>
                      </w:rPr>
                      <w:instrText>PAGE  \* MERGEFORMAT</w:instrText>
                    </w:r>
                    <w:r w:rsidRPr="00097C34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C7042" w:rsidRPr="00AC7042">
                      <w:rPr>
                        <w:rFonts w:ascii="Cambria" w:hAnsi="Cambria"/>
                        <w:b/>
                        <w:noProof/>
                        <w:color w:val="FFFFFF"/>
                        <w:sz w:val="28"/>
                        <w:szCs w:val="28"/>
                      </w:rPr>
                      <w:t>6</w:t>
                    </w:r>
                    <w:r w:rsidRPr="00097C34">
                      <w:rPr>
                        <w:rFonts w:ascii="Cambria" w:hAnsi="Cambria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75A"/>
    <w:multiLevelType w:val="hybridMultilevel"/>
    <w:tmpl w:val="258014D6"/>
    <w:lvl w:ilvl="0" w:tplc="9A147702">
      <w:start w:val="8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E1B1D2F"/>
    <w:multiLevelType w:val="hybridMultilevel"/>
    <w:tmpl w:val="BB58A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A2F8B"/>
    <w:multiLevelType w:val="hybridMultilevel"/>
    <w:tmpl w:val="5C825F6C"/>
    <w:lvl w:ilvl="0" w:tplc="D1182AE0">
      <w:start w:val="6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8409D2"/>
    <w:multiLevelType w:val="hybridMultilevel"/>
    <w:tmpl w:val="496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43E3D0F"/>
    <w:multiLevelType w:val="hybridMultilevel"/>
    <w:tmpl w:val="76842BAA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B48EE"/>
    <w:multiLevelType w:val="hybridMultilevel"/>
    <w:tmpl w:val="15B0437E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AB5BD8"/>
    <w:multiLevelType w:val="hybridMultilevel"/>
    <w:tmpl w:val="5A8E7D96"/>
    <w:lvl w:ilvl="0" w:tplc="D1182AE0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81A0637"/>
    <w:multiLevelType w:val="hybridMultilevel"/>
    <w:tmpl w:val="38B005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8703D89"/>
    <w:multiLevelType w:val="hybridMultilevel"/>
    <w:tmpl w:val="2C0639BC"/>
    <w:lvl w:ilvl="0" w:tplc="FDFC4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06"/>
    <w:rsid w:val="000043F9"/>
    <w:rsid w:val="0002322A"/>
    <w:rsid w:val="00027BBF"/>
    <w:rsid w:val="0003791B"/>
    <w:rsid w:val="000434FE"/>
    <w:rsid w:val="00064782"/>
    <w:rsid w:val="0008022B"/>
    <w:rsid w:val="00097C34"/>
    <w:rsid w:val="000A5AAB"/>
    <w:rsid w:val="000D40FD"/>
    <w:rsid w:val="00106AE2"/>
    <w:rsid w:val="0010751E"/>
    <w:rsid w:val="00130646"/>
    <w:rsid w:val="00146EA4"/>
    <w:rsid w:val="00153ED0"/>
    <w:rsid w:val="00164057"/>
    <w:rsid w:val="00182E1B"/>
    <w:rsid w:val="00182EEC"/>
    <w:rsid w:val="00192E9E"/>
    <w:rsid w:val="001A70F6"/>
    <w:rsid w:val="001B5C71"/>
    <w:rsid w:val="001E33DE"/>
    <w:rsid w:val="0020050C"/>
    <w:rsid w:val="00221E40"/>
    <w:rsid w:val="0024067A"/>
    <w:rsid w:val="00244846"/>
    <w:rsid w:val="00255394"/>
    <w:rsid w:val="0025606E"/>
    <w:rsid w:val="00264B0E"/>
    <w:rsid w:val="00274D05"/>
    <w:rsid w:val="002764AD"/>
    <w:rsid w:val="002841C9"/>
    <w:rsid w:val="00286AD4"/>
    <w:rsid w:val="002A66FE"/>
    <w:rsid w:val="002B54D1"/>
    <w:rsid w:val="002C5CC7"/>
    <w:rsid w:val="002D151F"/>
    <w:rsid w:val="002E4431"/>
    <w:rsid w:val="00311BAC"/>
    <w:rsid w:val="00336B20"/>
    <w:rsid w:val="00337B26"/>
    <w:rsid w:val="00337B4D"/>
    <w:rsid w:val="00364159"/>
    <w:rsid w:val="0039744E"/>
    <w:rsid w:val="003D115C"/>
    <w:rsid w:val="003D230B"/>
    <w:rsid w:val="003D24E8"/>
    <w:rsid w:val="003F7CF2"/>
    <w:rsid w:val="004032CE"/>
    <w:rsid w:val="004039F0"/>
    <w:rsid w:val="00417806"/>
    <w:rsid w:val="00440E29"/>
    <w:rsid w:val="004459BA"/>
    <w:rsid w:val="004955AD"/>
    <w:rsid w:val="004B5162"/>
    <w:rsid w:val="004F0D8F"/>
    <w:rsid w:val="004F36FC"/>
    <w:rsid w:val="00514E3D"/>
    <w:rsid w:val="00527592"/>
    <w:rsid w:val="00541AEE"/>
    <w:rsid w:val="0056334C"/>
    <w:rsid w:val="00567048"/>
    <w:rsid w:val="00580367"/>
    <w:rsid w:val="005A45E5"/>
    <w:rsid w:val="005B309E"/>
    <w:rsid w:val="005D0FFA"/>
    <w:rsid w:val="005F18E3"/>
    <w:rsid w:val="005F5363"/>
    <w:rsid w:val="006063F7"/>
    <w:rsid w:val="00624E37"/>
    <w:rsid w:val="00633066"/>
    <w:rsid w:val="00636B12"/>
    <w:rsid w:val="006606D7"/>
    <w:rsid w:val="00673CCA"/>
    <w:rsid w:val="0067551E"/>
    <w:rsid w:val="00683253"/>
    <w:rsid w:val="00687CB9"/>
    <w:rsid w:val="006A0C4F"/>
    <w:rsid w:val="006A25FD"/>
    <w:rsid w:val="006B1754"/>
    <w:rsid w:val="006B4476"/>
    <w:rsid w:val="006D1661"/>
    <w:rsid w:val="006F501E"/>
    <w:rsid w:val="007019D7"/>
    <w:rsid w:val="007063DC"/>
    <w:rsid w:val="00706B42"/>
    <w:rsid w:val="00717F75"/>
    <w:rsid w:val="007350A0"/>
    <w:rsid w:val="00740F68"/>
    <w:rsid w:val="007566EF"/>
    <w:rsid w:val="0076395E"/>
    <w:rsid w:val="00781DF7"/>
    <w:rsid w:val="00783B8E"/>
    <w:rsid w:val="007A76ED"/>
    <w:rsid w:val="007B18EA"/>
    <w:rsid w:val="007B2DB8"/>
    <w:rsid w:val="007B4522"/>
    <w:rsid w:val="007C26E3"/>
    <w:rsid w:val="007E2EB6"/>
    <w:rsid w:val="007E606B"/>
    <w:rsid w:val="007F01A3"/>
    <w:rsid w:val="00800771"/>
    <w:rsid w:val="00812337"/>
    <w:rsid w:val="008222EA"/>
    <w:rsid w:val="00833FED"/>
    <w:rsid w:val="00844174"/>
    <w:rsid w:val="00844E8B"/>
    <w:rsid w:val="00867B79"/>
    <w:rsid w:val="00872240"/>
    <w:rsid w:val="00890212"/>
    <w:rsid w:val="008C0261"/>
    <w:rsid w:val="008C2F21"/>
    <w:rsid w:val="008D43FD"/>
    <w:rsid w:val="00901EF2"/>
    <w:rsid w:val="0093126D"/>
    <w:rsid w:val="00942A37"/>
    <w:rsid w:val="00947F58"/>
    <w:rsid w:val="00952061"/>
    <w:rsid w:val="00954944"/>
    <w:rsid w:val="009655FB"/>
    <w:rsid w:val="0097307E"/>
    <w:rsid w:val="00976F41"/>
    <w:rsid w:val="00992926"/>
    <w:rsid w:val="009D0004"/>
    <w:rsid w:val="009D2502"/>
    <w:rsid w:val="009F6CA2"/>
    <w:rsid w:val="00A03170"/>
    <w:rsid w:val="00A07A1D"/>
    <w:rsid w:val="00A626A2"/>
    <w:rsid w:val="00A76490"/>
    <w:rsid w:val="00A90436"/>
    <w:rsid w:val="00A90E15"/>
    <w:rsid w:val="00AB0655"/>
    <w:rsid w:val="00AC7042"/>
    <w:rsid w:val="00AF0700"/>
    <w:rsid w:val="00AF48AD"/>
    <w:rsid w:val="00B0268A"/>
    <w:rsid w:val="00B450D9"/>
    <w:rsid w:val="00B61151"/>
    <w:rsid w:val="00B61F57"/>
    <w:rsid w:val="00BB0C00"/>
    <w:rsid w:val="00BD2292"/>
    <w:rsid w:val="00BE0066"/>
    <w:rsid w:val="00BF02E6"/>
    <w:rsid w:val="00C31929"/>
    <w:rsid w:val="00C43A37"/>
    <w:rsid w:val="00C639AE"/>
    <w:rsid w:val="00C73F5E"/>
    <w:rsid w:val="00C7409B"/>
    <w:rsid w:val="00C7588B"/>
    <w:rsid w:val="00C9354E"/>
    <w:rsid w:val="00CB0C32"/>
    <w:rsid w:val="00CB3090"/>
    <w:rsid w:val="00CD2E3E"/>
    <w:rsid w:val="00D160CC"/>
    <w:rsid w:val="00D44802"/>
    <w:rsid w:val="00D67EF5"/>
    <w:rsid w:val="00D749EF"/>
    <w:rsid w:val="00D90E32"/>
    <w:rsid w:val="00D963DD"/>
    <w:rsid w:val="00DB6C13"/>
    <w:rsid w:val="00DF40E0"/>
    <w:rsid w:val="00DF6345"/>
    <w:rsid w:val="00E26128"/>
    <w:rsid w:val="00E435B5"/>
    <w:rsid w:val="00E73425"/>
    <w:rsid w:val="00E87282"/>
    <w:rsid w:val="00EA1A38"/>
    <w:rsid w:val="00EA2663"/>
    <w:rsid w:val="00EA28EF"/>
    <w:rsid w:val="00EA5C17"/>
    <w:rsid w:val="00ED321E"/>
    <w:rsid w:val="00EE4667"/>
    <w:rsid w:val="00F02DF9"/>
    <w:rsid w:val="00F15E63"/>
    <w:rsid w:val="00F22455"/>
    <w:rsid w:val="00F90F93"/>
    <w:rsid w:val="00F97798"/>
    <w:rsid w:val="00FC7B6D"/>
    <w:rsid w:val="00FE4109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A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86A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A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86A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evriz.ru/articles/2014/5/57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authors.asp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elibrary.ru/authors.as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Влияния Параметрических Расстроек На Точность Марковского Алгоритма Оценки Временных Положений Импульсов</vt:lpstr>
    </vt:vector>
  </TitlesOfParts>
  <Company>Home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Параметрических Расстроек На Точность Марковского Алгоритма Оценки Временных Положений Импульсов</dc:title>
  <dc:creator>Filatov</dc:creator>
  <cp:lastModifiedBy>biblioteka</cp:lastModifiedBy>
  <cp:revision>2</cp:revision>
  <cp:lastPrinted>2015-03-27T18:14:00Z</cp:lastPrinted>
  <dcterms:created xsi:type="dcterms:W3CDTF">2015-09-10T10:40:00Z</dcterms:created>
  <dcterms:modified xsi:type="dcterms:W3CDTF">2015-09-10T10:40:00Z</dcterms:modified>
</cp:coreProperties>
</file>