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BF35" w14:textId="77777777" w:rsidR="00CE26DE" w:rsidRDefault="00CE26DE" w:rsidP="009C79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К.А. Руденко</w:t>
      </w:r>
    </w:p>
    <w:p w14:paraId="1BC2150D" w14:textId="00F287D6" w:rsidR="00423577" w:rsidRDefault="00CE26DE" w:rsidP="009C79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(Казань, Казанский государственный институт культуры)</w:t>
      </w:r>
    </w:p>
    <w:p w14:paraId="060FBED1" w14:textId="77777777" w:rsidR="00CE26DE" w:rsidRDefault="00CE26DE" w:rsidP="00CE2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ВЗАИМОДЕЙСТВИЯ АРХЕОЛОГИИ И ЭТНОГРАФИИ В ДЕЯТЕЛЬНОСТИ ПРОФЕССОРА Б.Ф АДЛЕРА</w:t>
      </w:r>
    </w:p>
    <w:p w14:paraId="0A04E7BE" w14:textId="7C6D8938" w:rsidR="00423577" w:rsidRDefault="00CE26DE" w:rsidP="00CE2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(КАЗАНСКИЙ ПЕРИОД: 1911 – 1922)</w:t>
      </w:r>
    </w:p>
    <w:p w14:paraId="2B6D4590" w14:textId="77777777" w:rsidR="00CE26DE" w:rsidRDefault="00CE26DE" w:rsidP="00CE2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B71109" w14:textId="57DC39EC" w:rsidR="00150241" w:rsidRDefault="001502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Казанского университета Бруно Федорович Адлер (1874-1942) оставил глубокий след в научной, педагогической и музейной </w:t>
      </w:r>
      <w:r w:rsidR="006928F2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Казани, </w:t>
      </w:r>
      <w:r w:rsidR="006928F2">
        <w:rPr>
          <w:rFonts w:ascii="Times New Roman" w:hAnsi="Times New Roman"/>
          <w:sz w:val="28"/>
          <w:szCs w:val="28"/>
        </w:rPr>
        <w:t xml:space="preserve">и в целом, в </w:t>
      </w:r>
      <w:r>
        <w:rPr>
          <w:rFonts w:ascii="Times New Roman" w:hAnsi="Times New Roman"/>
          <w:sz w:val="28"/>
          <w:szCs w:val="28"/>
        </w:rPr>
        <w:t>Казанской губернии и Татарской республики. Особую область его деятельности составляет проблема истории культуры человека</w:t>
      </w:r>
      <w:r w:rsidR="0081605A">
        <w:rPr>
          <w:rFonts w:ascii="Times New Roman" w:hAnsi="Times New Roman"/>
          <w:sz w:val="28"/>
          <w:szCs w:val="28"/>
        </w:rPr>
        <w:t xml:space="preserve"> в контексте этнографического и археологического дискурса. Этот вопрос он прорабатывал в своих трудах, а также на практических занятиях со студентами, реализуя </w:t>
      </w:r>
      <w:r w:rsidR="00CE26DE">
        <w:rPr>
          <w:rFonts w:ascii="Times New Roman" w:hAnsi="Times New Roman"/>
          <w:sz w:val="28"/>
          <w:szCs w:val="28"/>
        </w:rPr>
        <w:t>теоретические и методические разработки</w:t>
      </w:r>
      <w:r w:rsidR="0081605A">
        <w:rPr>
          <w:rFonts w:ascii="Times New Roman" w:hAnsi="Times New Roman"/>
          <w:sz w:val="28"/>
          <w:szCs w:val="28"/>
        </w:rPr>
        <w:t xml:space="preserve"> в </w:t>
      </w:r>
      <w:r w:rsidR="006928F2">
        <w:rPr>
          <w:rFonts w:ascii="Times New Roman" w:hAnsi="Times New Roman"/>
          <w:sz w:val="28"/>
          <w:szCs w:val="28"/>
        </w:rPr>
        <w:t>университетск</w:t>
      </w:r>
      <w:r w:rsidR="00B93705">
        <w:rPr>
          <w:rFonts w:ascii="Times New Roman" w:hAnsi="Times New Roman"/>
          <w:sz w:val="28"/>
          <w:szCs w:val="28"/>
        </w:rPr>
        <w:t xml:space="preserve">их учебных курсах, студенческих практиках, в методическом оформлении </w:t>
      </w:r>
      <w:r w:rsidR="0081605A">
        <w:rPr>
          <w:rFonts w:ascii="Times New Roman" w:hAnsi="Times New Roman"/>
          <w:sz w:val="28"/>
          <w:szCs w:val="28"/>
        </w:rPr>
        <w:t>этнографическо</w:t>
      </w:r>
      <w:r w:rsidR="00B93705">
        <w:rPr>
          <w:rFonts w:ascii="Times New Roman" w:hAnsi="Times New Roman"/>
          <w:sz w:val="28"/>
          <w:szCs w:val="28"/>
        </w:rPr>
        <w:t>го</w:t>
      </w:r>
      <w:r w:rsidR="0081605A">
        <w:rPr>
          <w:rFonts w:ascii="Times New Roman" w:hAnsi="Times New Roman"/>
          <w:sz w:val="28"/>
          <w:szCs w:val="28"/>
        </w:rPr>
        <w:t xml:space="preserve"> кабинет</w:t>
      </w:r>
      <w:r w:rsidR="00B93705">
        <w:rPr>
          <w:rFonts w:ascii="Times New Roman" w:hAnsi="Times New Roman"/>
          <w:sz w:val="28"/>
          <w:szCs w:val="28"/>
        </w:rPr>
        <w:t>а</w:t>
      </w:r>
      <w:r w:rsidR="0081605A">
        <w:rPr>
          <w:rFonts w:ascii="Times New Roman" w:hAnsi="Times New Roman"/>
          <w:sz w:val="28"/>
          <w:szCs w:val="28"/>
        </w:rPr>
        <w:t xml:space="preserve">, а затем в </w:t>
      </w:r>
      <w:r w:rsidR="00B93705">
        <w:rPr>
          <w:rFonts w:ascii="Times New Roman" w:hAnsi="Times New Roman"/>
          <w:sz w:val="28"/>
          <w:szCs w:val="28"/>
        </w:rPr>
        <w:t xml:space="preserve">экспозиции </w:t>
      </w:r>
      <w:r w:rsidR="0081605A">
        <w:rPr>
          <w:rFonts w:ascii="Times New Roman" w:hAnsi="Times New Roman"/>
          <w:sz w:val="28"/>
          <w:szCs w:val="28"/>
        </w:rPr>
        <w:t>этнографическо</w:t>
      </w:r>
      <w:r w:rsidR="00B93705">
        <w:rPr>
          <w:rFonts w:ascii="Times New Roman" w:hAnsi="Times New Roman"/>
          <w:sz w:val="28"/>
          <w:szCs w:val="28"/>
        </w:rPr>
        <w:t>го</w:t>
      </w:r>
      <w:r w:rsidR="0081605A">
        <w:rPr>
          <w:rFonts w:ascii="Times New Roman" w:hAnsi="Times New Roman"/>
          <w:sz w:val="28"/>
          <w:szCs w:val="28"/>
        </w:rPr>
        <w:t xml:space="preserve"> музе</w:t>
      </w:r>
      <w:r w:rsidR="00B93705">
        <w:rPr>
          <w:rFonts w:ascii="Times New Roman" w:hAnsi="Times New Roman"/>
          <w:sz w:val="28"/>
          <w:szCs w:val="28"/>
        </w:rPr>
        <w:t>я</w:t>
      </w:r>
      <w:r w:rsidR="0081605A">
        <w:rPr>
          <w:rFonts w:ascii="Times New Roman" w:hAnsi="Times New Roman"/>
          <w:sz w:val="28"/>
          <w:szCs w:val="28"/>
        </w:rPr>
        <w:t xml:space="preserve"> </w:t>
      </w:r>
      <w:r w:rsidR="006928F2">
        <w:rPr>
          <w:rFonts w:ascii="Times New Roman" w:hAnsi="Times New Roman"/>
          <w:sz w:val="28"/>
          <w:szCs w:val="28"/>
        </w:rPr>
        <w:t xml:space="preserve">КГУ. Частью этой программы были экспедиции студентов с археолого-этнографической целью на Урал и в Сибирь в 1913-1916 гг. </w:t>
      </w:r>
      <w:r w:rsidR="00B93705">
        <w:rPr>
          <w:rFonts w:ascii="Times New Roman" w:hAnsi="Times New Roman"/>
          <w:sz w:val="28"/>
          <w:szCs w:val="28"/>
        </w:rPr>
        <w:t xml:space="preserve">После революции Б.Ф. Адлер разработал концепцию универсального музея народоведения, где идея интеграции археологии и этнографии играла ключевую роль. Это был первый опыт такого рода в России, к сожалению, не реализованный. </w:t>
      </w:r>
      <w:r w:rsidR="00CE26DE">
        <w:rPr>
          <w:rFonts w:ascii="Times New Roman" w:hAnsi="Times New Roman"/>
          <w:sz w:val="28"/>
          <w:szCs w:val="28"/>
        </w:rPr>
        <w:t>Автор анализирует реализацию программы Б.Ф. Адлера в трудах этнографов казанской школы в ХХ в.</w:t>
      </w:r>
      <w:r w:rsidR="009C7996">
        <w:rPr>
          <w:rFonts w:ascii="Times New Roman" w:hAnsi="Times New Roman"/>
          <w:sz w:val="28"/>
          <w:szCs w:val="28"/>
        </w:rPr>
        <w:t>, как и в исследованиях казанских археологов и историков.</w:t>
      </w:r>
    </w:p>
    <w:sectPr w:rsidR="0015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7"/>
    <w:rsid w:val="00150241"/>
    <w:rsid w:val="003A3543"/>
    <w:rsid w:val="00423577"/>
    <w:rsid w:val="006928F2"/>
    <w:rsid w:val="0081605A"/>
    <w:rsid w:val="00907668"/>
    <w:rsid w:val="009C7996"/>
    <w:rsid w:val="00B93705"/>
    <w:rsid w:val="00C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F92C"/>
  <w15:chartTrackingRefBased/>
  <w15:docId w15:val="{B79D47CE-6E6E-436B-BC8C-11AE4573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Руденко</dc:creator>
  <cp:keywords/>
  <dc:description/>
  <cp:lastModifiedBy>Константин Руденко</cp:lastModifiedBy>
  <cp:revision>3</cp:revision>
  <dcterms:created xsi:type="dcterms:W3CDTF">2022-01-31T11:25:00Z</dcterms:created>
  <dcterms:modified xsi:type="dcterms:W3CDTF">2022-01-31T16:17:00Z</dcterms:modified>
</cp:coreProperties>
</file>